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drawings/drawing2.xml" ContentType="application/vnd.openxmlformats-officedocument.drawingml.chartshapes+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drawings/drawing3.xml" ContentType="application/vnd.openxmlformats-officedocument.drawingml.chartshapes+xml"/>
  <Override PartName="/word/charts/chart10.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1.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2.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3.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0.xml" ContentType="application/vnd.openxmlformats-officedocument.themeOverride+xml"/>
  <Override PartName="/word/charts/chart14.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5.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6.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1.xml" ContentType="application/vnd.openxmlformats-officedocument.themeOverride+xml"/>
  <Override PartName="/word/charts/chart17.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2.xml" ContentType="application/vnd.openxmlformats-officedocument.themeOverride+xml"/>
  <Override PartName="/word/charts/chart18.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9.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3.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DB9D2" w14:textId="242AAA0E" w:rsidR="001205F9" w:rsidRPr="00E2214B" w:rsidRDefault="001205F9" w:rsidP="00E2214B">
      <w:pPr>
        <w:pStyle w:val="Heading1"/>
        <w:numPr>
          <w:ilvl w:val="0"/>
          <w:numId w:val="0"/>
        </w:numPr>
        <w:ind w:left="432"/>
        <w:jc w:val="center"/>
        <w:rPr>
          <w:rStyle w:val="BookTitle"/>
          <w:i w:val="0"/>
          <w:iCs w:val="0"/>
        </w:rPr>
      </w:pPr>
      <w:r w:rsidRPr="00E2214B">
        <w:rPr>
          <w:rStyle w:val="BookTitle"/>
          <w:i w:val="0"/>
          <w:iCs w:val="0"/>
        </w:rPr>
        <w:t>Unequal Burdens, Uneven Benefits: Applying a Gender Lens to the Analysis of Peru’s Fiscal System</w:t>
      </w:r>
      <w:r w:rsidRPr="00E2214B">
        <w:rPr>
          <w:rStyle w:val="BookTitle"/>
          <w:i w:val="0"/>
          <w:iCs w:val="0"/>
          <w:vertAlign w:val="superscript"/>
        </w:rPr>
        <w:footnoteReference w:id="2"/>
      </w:r>
    </w:p>
    <w:p w14:paraId="00BEF170" w14:textId="77777777" w:rsidR="001205F9" w:rsidRDefault="001205F9" w:rsidP="001205F9">
      <w:pPr>
        <w:jc w:val="center"/>
        <w:rPr>
          <w:rFonts w:asciiTheme="majorHAnsi" w:hAnsiTheme="majorHAnsi" w:cstheme="majorHAnsi"/>
          <w:b/>
          <w:bCs/>
        </w:rPr>
      </w:pPr>
    </w:p>
    <w:p w14:paraId="0428CA4A" w14:textId="7874B776" w:rsidR="001205F9" w:rsidRPr="00FA3AC1" w:rsidRDefault="001205F9" w:rsidP="37BA5695">
      <w:pPr>
        <w:jc w:val="center"/>
        <w:rPr>
          <w:rFonts w:asciiTheme="majorHAnsi" w:hAnsiTheme="majorHAnsi" w:cstheme="majorBidi"/>
          <w:lang w:val="es-CO"/>
        </w:rPr>
      </w:pPr>
      <w:r w:rsidRPr="00FA3AC1">
        <w:rPr>
          <w:rFonts w:asciiTheme="majorHAnsi" w:hAnsiTheme="majorHAnsi" w:cstheme="majorBidi"/>
          <w:lang w:val="es-CO"/>
        </w:rPr>
        <w:t>Paola Buitrago</w:t>
      </w:r>
      <w:r w:rsidR="1ABD60D7" w:rsidRPr="00FA3AC1">
        <w:rPr>
          <w:rFonts w:asciiTheme="majorHAnsi" w:hAnsiTheme="majorHAnsi" w:cstheme="majorBidi"/>
          <w:lang w:val="es-CO"/>
        </w:rPr>
        <w:t xml:space="preserve"> Hernandez</w:t>
      </w:r>
    </w:p>
    <w:p w14:paraId="0FD71FEC" w14:textId="35F86213" w:rsidR="001205F9" w:rsidRPr="00FA3AC1" w:rsidRDefault="001205F9" w:rsidP="001205F9">
      <w:pPr>
        <w:jc w:val="center"/>
        <w:rPr>
          <w:rFonts w:asciiTheme="majorHAnsi" w:hAnsiTheme="majorHAnsi" w:cstheme="majorHAnsi"/>
          <w:lang w:val="es-CO"/>
        </w:rPr>
      </w:pPr>
      <w:r w:rsidRPr="00FA3AC1">
        <w:rPr>
          <w:rFonts w:asciiTheme="majorHAnsi" w:hAnsiTheme="majorHAnsi" w:cstheme="majorHAnsi"/>
          <w:lang w:val="es-CO"/>
        </w:rPr>
        <w:t>Luciana de la Flor</w:t>
      </w:r>
    </w:p>
    <w:p w14:paraId="211298EF" w14:textId="5119818E" w:rsidR="001205F9" w:rsidRPr="00FA3AC1" w:rsidRDefault="001205F9" w:rsidP="001205F9">
      <w:pPr>
        <w:jc w:val="center"/>
        <w:rPr>
          <w:rFonts w:asciiTheme="majorHAnsi" w:hAnsiTheme="majorHAnsi" w:cstheme="majorHAnsi"/>
          <w:lang w:val="es-CO"/>
        </w:rPr>
      </w:pPr>
      <w:r w:rsidRPr="00FA3AC1">
        <w:rPr>
          <w:rFonts w:asciiTheme="majorHAnsi" w:hAnsiTheme="majorHAnsi" w:cstheme="majorHAnsi"/>
          <w:lang w:val="es-CO"/>
        </w:rPr>
        <w:t>Gonzalo Rivera</w:t>
      </w:r>
    </w:p>
    <w:p w14:paraId="47FA09C7" w14:textId="1314C848" w:rsidR="001205F9" w:rsidRPr="00FA3AC1" w:rsidRDefault="001205F9" w:rsidP="001205F9">
      <w:pPr>
        <w:jc w:val="center"/>
        <w:rPr>
          <w:rFonts w:asciiTheme="majorHAnsi" w:hAnsiTheme="majorHAnsi" w:cstheme="majorHAnsi"/>
          <w:lang w:val="es-CO"/>
        </w:rPr>
      </w:pPr>
      <w:r w:rsidRPr="00FA3AC1">
        <w:rPr>
          <w:rFonts w:asciiTheme="majorHAnsi" w:hAnsiTheme="majorHAnsi" w:cstheme="majorHAnsi"/>
          <w:lang w:val="es-CO"/>
        </w:rPr>
        <w:t>Eliana Rubiano-Matulevich</w:t>
      </w:r>
    </w:p>
    <w:p w14:paraId="79431462" w14:textId="77777777" w:rsidR="001205F9" w:rsidRPr="00FA3AC1" w:rsidRDefault="001205F9" w:rsidP="001205F9">
      <w:pPr>
        <w:jc w:val="center"/>
        <w:rPr>
          <w:rFonts w:asciiTheme="majorHAnsi" w:hAnsiTheme="majorHAnsi" w:cstheme="majorHAnsi"/>
          <w:lang w:val="es-CO"/>
        </w:rPr>
      </w:pPr>
    </w:p>
    <w:p w14:paraId="37B436CF" w14:textId="77777777" w:rsidR="001205F9" w:rsidRPr="00FA3AC1" w:rsidRDefault="001205F9" w:rsidP="001205F9">
      <w:pPr>
        <w:jc w:val="center"/>
        <w:rPr>
          <w:rFonts w:asciiTheme="majorHAnsi" w:hAnsiTheme="majorHAnsi" w:cstheme="majorHAnsi"/>
          <w:lang w:val="es-CO"/>
        </w:rPr>
      </w:pPr>
    </w:p>
    <w:p w14:paraId="0CBA39BC" w14:textId="77A153E0" w:rsidR="001205F9" w:rsidRPr="00FA3AC1" w:rsidRDefault="001205F9" w:rsidP="001205F9">
      <w:pPr>
        <w:jc w:val="center"/>
        <w:rPr>
          <w:rFonts w:asciiTheme="majorHAnsi" w:hAnsiTheme="majorHAnsi" w:cstheme="majorHAnsi"/>
          <w:lang w:val="es-CO"/>
        </w:rPr>
      </w:pPr>
      <w:r w:rsidRPr="00FA3AC1">
        <w:rPr>
          <w:rFonts w:asciiTheme="majorHAnsi" w:hAnsiTheme="majorHAnsi" w:cstheme="majorHAnsi"/>
          <w:lang w:val="es-CO"/>
        </w:rPr>
        <w:t>Abstract</w:t>
      </w:r>
    </w:p>
    <w:p w14:paraId="5A5C6DE3" w14:textId="77777777" w:rsidR="001205F9" w:rsidRPr="00FA3AC1" w:rsidRDefault="001205F9" w:rsidP="001205F9">
      <w:pPr>
        <w:jc w:val="center"/>
        <w:rPr>
          <w:rFonts w:asciiTheme="majorHAnsi" w:hAnsiTheme="majorHAnsi" w:cstheme="majorHAnsi"/>
          <w:lang w:val="es-CO"/>
        </w:rPr>
      </w:pPr>
    </w:p>
    <w:p w14:paraId="73CFE07B" w14:textId="27C26771" w:rsidR="001205F9" w:rsidRDefault="001205F9" w:rsidP="001205F9">
      <w:pPr>
        <w:jc w:val="both"/>
        <w:rPr>
          <w:rFonts w:asciiTheme="majorHAnsi" w:hAnsiTheme="majorHAnsi" w:cstheme="majorHAnsi"/>
        </w:rPr>
      </w:pPr>
      <w:r w:rsidRPr="001205F9">
        <w:rPr>
          <w:rFonts w:asciiTheme="majorHAnsi" w:hAnsiTheme="majorHAnsi" w:cstheme="majorHAnsi"/>
        </w:rPr>
        <w:t xml:space="preserve">This paper </w:t>
      </w:r>
      <w:r w:rsidR="00037D4C">
        <w:rPr>
          <w:rFonts w:asciiTheme="majorHAnsi" w:hAnsiTheme="majorHAnsi" w:cstheme="majorHAnsi"/>
        </w:rPr>
        <w:t xml:space="preserve">applies a gender lens to the </w:t>
      </w:r>
      <w:r w:rsidR="00A13C0A">
        <w:rPr>
          <w:rFonts w:asciiTheme="majorHAnsi" w:hAnsiTheme="majorHAnsi" w:cstheme="majorHAnsi"/>
        </w:rPr>
        <w:t>distributional analysis o</w:t>
      </w:r>
      <w:r w:rsidRPr="001205F9">
        <w:rPr>
          <w:rFonts w:asciiTheme="majorHAnsi" w:hAnsiTheme="majorHAnsi" w:cstheme="majorHAnsi"/>
        </w:rPr>
        <w:t xml:space="preserve">f Peru's fiscal system </w:t>
      </w:r>
      <w:r w:rsidR="00DB2753">
        <w:rPr>
          <w:rFonts w:asciiTheme="majorHAnsi" w:hAnsiTheme="majorHAnsi" w:cstheme="majorHAnsi"/>
        </w:rPr>
        <w:t>based on</w:t>
      </w:r>
      <w:r w:rsidRPr="001205F9">
        <w:rPr>
          <w:rFonts w:asciiTheme="majorHAnsi" w:hAnsiTheme="majorHAnsi" w:cstheme="majorHAnsi"/>
        </w:rPr>
        <w:t xml:space="preserve"> the Commitment to Equity (CEQ) methodology. U</w:t>
      </w:r>
      <w:r>
        <w:rPr>
          <w:rFonts w:asciiTheme="majorHAnsi" w:hAnsiTheme="majorHAnsi" w:cstheme="majorHAnsi"/>
        </w:rPr>
        <w:t>sing</w:t>
      </w:r>
      <w:r w:rsidRPr="001205F9">
        <w:rPr>
          <w:rFonts w:asciiTheme="majorHAnsi" w:hAnsiTheme="majorHAnsi" w:cstheme="majorHAnsi"/>
        </w:rPr>
        <w:t xml:space="preserve"> data from the 2019 </w:t>
      </w:r>
      <w:r w:rsidRPr="001205F9">
        <w:rPr>
          <w:rFonts w:asciiTheme="majorHAnsi" w:hAnsiTheme="majorHAnsi" w:cstheme="majorHAnsi"/>
          <w:i/>
          <w:iCs/>
        </w:rPr>
        <w:t>Encuesta Nacional de Hogares</w:t>
      </w:r>
      <w:r>
        <w:rPr>
          <w:rFonts w:asciiTheme="majorHAnsi" w:hAnsiTheme="majorHAnsi" w:cstheme="majorHAnsi"/>
        </w:rPr>
        <w:t xml:space="preserve"> (ENAHO)</w:t>
      </w:r>
      <w:r w:rsidRPr="001205F9">
        <w:rPr>
          <w:rFonts w:asciiTheme="majorHAnsi" w:hAnsiTheme="majorHAnsi" w:cstheme="majorHAnsi"/>
        </w:rPr>
        <w:t>, we examine the differential impacts of taxes and transfers on various household types, with a focus on gender-related characteristics.</w:t>
      </w:r>
      <w:r>
        <w:rPr>
          <w:rFonts w:asciiTheme="majorHAnsi" w:hAnsiTheme="majorHAnsi" w:cstheme="majorHAnsi"/>
        </w:rPr>
        <w:t xml:space="preserve"> </w:t>
      </w:r>
      <w:r w:rsidRPr="001205F9">
        <w:rPr>
          <w:rFonts w:asciiTheme="majorHAnsi" w:hAnsiTheme="majorHAnsi" w:cstheme="majorHAnsi"/>
        </w:rPr>
        <w:t>Our analysis reveals that while Peru</w:t>
      </w:r>
      <w:r w:rsidR="00DB2753">
        <w:rPr>
          <w:rFonts w:asciiTheme="majorHAnsi" w:hAnsiTheme="majorHAnsi" w:cstheme="majorHAnsi"/>
        </w:rPr>
        <w:t>’</w:t>
      </w:r>
      <w:r w:rsidRPr="001205F9">
        <w:rPr>
          <w:rFonts w:asciiTheme="majorHAnsi" w:hAnsiTheme="majorHAnsi" w:cstheme="majorHAnsi"/>
        </w:rPr>
        <w:t>s fiscal system reduces overall inequality, it increases poverty for many vulnerable groups, particularly those with high care burdens who are disproportionately women. The system increases poverty rates for most household types, with nuclear families, extended families, and single-parent households most negatively affected. Conversely, elderly households and single adults without children experience poverty reduction.</w:t>
      </w:r>
      <w:r>
        <w:rPr>
          <w:rFonts w:asciiTheme="majorHAnsi" w:hAnsiTheme="majorHAnsi" w:cstheme="majorHAnsi"/>
        </w:rPr>
        <w:t xml:space="preserve"> </w:t>
      </w:r>
      <w:r w:rsidRPr="001205F9">
        <w:rPr>
          <w:rFonts w:asciiTheme="majorHAnsi" w:hAnsiTheme="majorHAnsi" w:cstheme="majorHAnsi"/>
        </w:rPr>
        <w:t>Direct transfers effectively reduce poverty, especially for single mothers with dependents. However, these positive effects are often outweighed by regressive indirect taxes. Agricultural households, predominantly in rural areas, benefit more from the fiscal system compared to urban households, highlighting significant regional disparities.</w:t>
      </w:r>
      <w:r>
        <w:rPr>
          <w:rFonts w:asciiTheme="majorHAnsi" w:hAnsiTheme="majorHAnsi" w:cstheme="majorHAnsi"/>
        </w:rPr>
        <w:t xml:space="preserve"> </w:t>
      </w:r>
      <w:r w:rsidRPr="001205F9">
        <w:rPr>
          <w:rFonts w:asciiTheme="majorHAnsi" w:hAnsiTheme="majorHAnsi" w:cstheme="majorHAnsi"/>
        </w:rPr>
        <w:t>Our findings underscore the need for more targeted and gender-responsive fiscal policies</w:t>
      </w:r>
      <w:r w:rsidR="00D323BB">
        <w:rPr>
          <w:rFonts w:asciiTheme="majorHAnsi" w:hAnsiTheme="majorHAnsi" w:cstheme="majorHAnsi"/>
        </w:rPr>
        <w:t xml:space="preserve"> for instance, s</w:t>
      </w:r>
      <w:r w:rsidRPr="001205F9">
        <w:rPr>
          <w:rFonts w:asciiTheme="majorHAnsi" w:hAnsiTheme="majorHAnsi" w:cstheme="majorHAnsi"/>
        </w:rPr>
        <w:t xml:space="preserve">trengthening support for households with care responsibilities, expanding targeted cash transfer programs, addressing urban-rural disparities, and systematically incorporating gender impact assessments in fiscal policy design. </w:t>
      </w:r>
    </w:p>
    <w:p w14:paraId="7C15D742" w14:textId="77777777" w:rsidR="001205F9" w:rsidRDefault="001205F9" w:rsidP="007D6783">
      <w:pPr>
        <w:rPr>
          <w:rFonts w:asciiTheme="majorHAnsi" w:hAnsiTheme="majorHAnsi" w:cstheme="majorHAnsi"/>
        </w:rPr>
      </w:pPr>
    </w:p>
    <w:p w14:paraId="4C3D4EFB" w14:textId="4FC1E845" w:rsidR="001205F9" w:rsidRDefault="001205F9" w:rsidP="001205F9">
      <w:pPr>
        <w:jc w:val="both"/>
        <w:rPr>
          <w:rFonts w:asciiTheme="majorHAnsi" w:hAnsiTheme="majorHAnsi" w:cstheme="majorHAnsi"/>
        </w:rPr>
      </w:pPr>
      <w:r w:rsidRPr="001205F9">
        <w:rPr>
          <w:rFonts w:asciiTheme="majorHAnsi" w:hAnsiTheme="majorHAnsi" w:cstheme="majorHAnsi"/>
        </w:rPr>
        <w:t>Keywords: fiscal incidence, gender equality, poverty, inequality, Peru</w:t>
      </w:r>
    </w:p>
    <w:p w14:paraId="293B0F3A" w14:textId="77777777" w:rsidR="001205F9" w:rsidRDefault="001205F9" w:rsidP="001205F9">
      <w:pPr>
        <w:jc w:val="both"/>
        <w:rPr>
          <w:rFonts w:asciiTheme="majorHAnsi" w:hAnsiTheme="majorHAnsi" w:cstheme="majorHAnsi"/>
        </w:rPr>
      </w:pPr>
    </w:p>
    <w:p w14:paraId="2D617CD9" w14:textId="77777777" w:rsidR="00CE0126" w:rsidRDefault="00CE0126" w:rsidP="001205F9">
      <w:pPr>
        <w:jc w:val="both"/>
        <w:rPr>
          <w:rFonts w:asciiTheme="majorHAnsi" w:hAnsiTheme="majorHAnsi" w:cstheme="majorHAnsi"/>
        </w:rPr>
      </w:pPr>
    </w:p>
    <w:p w14:paraId="523E59B9" w14:textId="7F435B73" w:rsidR="001205F9" w:rsidRPr="001205F9" w:rsidRDefault="001205F9" w:rsidP="00290D56">
      <w:pPr>
        <w:pStyle w:val="Heading1"/>
        <w:spacing w:before="0"/>
      </w:pPr>
      <w:r w:rsidRPr="001205F9">
        <w:t>Introduction</w:t>
      </w:r>
    </w:p>
    <w:p w14:paraId="3D04DD09" w14:textId="77777777" w:rsidR="001205F9" w:rsidRPr="001205F9" w:rsidRDefault="001205F9" w:rsidP="00290D56">
      <w:pPr>
        <w:spacing w:after="0"/>
        <w:jc w:val="both"/>
        <w:rPr>
          <w:rFonts w:asciiTheme="majorHAnsi" w:hAnsiTheme="majorHAnsi" w:cstheme="majorHAnsi"/>
        </w:rPr>
      </w:pPr>
    </w:p>
    <w:p w14:paraId="616944DD" w14:textId="77777777" w:rsidR="002B3799" w:rsidRPr="002B3799" w:rsidRDefault="002B3799" w:rsidP="00290D56">
      <w:pPr>
        <w:spacing w:after="0"/>
        <w:jc w:val="both"/>
        <w:rPr>
          <w:rFonts w:asciiTheme="majorHAnsi" w:hAnsiTheme="majorHAnsi" w:cstheme="majorHAnsi"/>
        </w:rPr>
      </w:pPr>
      <w:r w:rsidRPr="002B3799">
        <w:rPr>
          <w:rFonts w:asciiTheme="majorHAnsi" w:hAnsiTheme="majorHAnsi" w:cstheme="majorHAnsi"/>
        </w:rPr>
        <w:t xml:space="preserve">Fiscal policy is a powerful tool for shaping economic outcomes and addressing inequality. However, the impacts of taxes and public spending are not necessarily gender neutral and can widen existing disparities. This paper examines the gendered effects of Peru’s fiscal system using the Commitment to Equity  (CEQ) methodology, with a specific focus on how different household types are affected by taxes and transfers. </w:t>
      </w:r>
    </w:p>
    <w:p w14:paraId="1E83BB90" w14:textId="77777777" w:rsidR="002B3799" w:rsidRPr="002B3799" w:rsidRDefault="002B3799" w:rsidP="00290D56">
      <w:pPr>
        <w:spacing w:after="0"/>
        <w:jc w:val="both"/>
        <w:rPr>
          <w:rFonts w:asciiTheme="majorHAnsi" w:hAnsiTheme="majorHAnsi" w:cstheme="majorHAnsi"/>
        </w:rPr>
      </w:pPr>
    </w:p>
    <w:p w14:paraId="3EBF3EA8" w14:textId="77777777" w:rsidR="002B3799" w:rsidRPr="002B3799" w:rsidRDefault="002B3799" w:rsidP="00290D56">
      <w:pPr>
        <w:spacing w:after="0"/>
        <w:jc w:val="both"/>
        <w:rPr>
          <w:rFonts w:asciiTheme="majorHAnsi" w:hAnsiTheme="majorHAnsi" w:cstheme="majorHAnsi"/>
        </w:rPr>
      </w:pPr>
      <w:r w:rsidRPr="002B3799">
        <w:rPr>
          <w:rFonts w:asciiTheme="majorHAnsi" w:hAnsiTheme="majorHAnsi" w:cstheme="majorHAnsi"/>
        </w:rPr>
        <w:t xml:space="preserve">Peru’s poverty landscape has undergone significant changes in recent years, with concerning trends emerging. According to data from the National Institute of Statistics and Informatics (INEI), 29.0 percent of the population were poor in 2023, a 1.5 percentage point increase from 2022. This represents a rise of 3.3 million people living in poverty compared to 2019, the year preceding the COVID-19 pandemic. The situation is particularly dire for those in extreme poverty, with 1.9 million Peruvians unable to afford even basic food necessities in 2023 - nearly 1 million more than in 2019. This regression in poverty reduction efforts can be attributed to a decade-long erosion of economic growth, exacerbated by political instability and institutional weakening. These trends starkly contrast with the period between 2004 and 2019, when Peru’s economy grew at an average annual rate of 5.2 percent, coinciding with 9.6 million Peruvians rising above the poverty line. Large sectors of the population remain vulnerable to poverty, and gender disparities persist in various dimensions of wellbeing. </w:t>
      </w:r>
    </w:p>
    <w:p w14:paraId="49D3877A" w14:textId="77777777" w:rsidR="002B3799" w:rsidRPr="002B3799" w:rsidRDefault="002B3799" w:rsidP="00290D56">
      <w:pPr>
        <w:spacing w:after="0"/>
        <w:jc w:val="both"/>
        <w:rPr>
          <w:rFonts w:asciiTheme="majorHAnsi" w:hAnsiTheme="majorHAnsi" w:cstheme="majorHAnsi"/>
        </w:rPr>
      </w:pPr>
    </w:p>
    <w:p w14:paraId="530121FF" w14:textId="77777777" w:rsidR="002B3799" w:rsidRPr="002B3799" w:rsidRDefault="002B3799" w:rsidP="00290D56">
      <w:pPr>
        <w:spacing w:after="0"/>
        <w:jc w:val="both"/>
        <w:rPr>
          <w:rFonts w:asciiTheme="majorHAnsi" w:hAnsiTheme="majorHAnsi" w:cstheme="majorHAnsi"/>
        </w:rPr>
      </w:pPr>
      <w:r w:rsidRPr="002B3799">
        <w:rPr>
          <w:rFonts w:asciiTheme="majorHAnsi" w:hAnsiTheme="majorHAnsi" w:cstheme="majorHAnsi"/>
        </w:rPr>
        <w:t xml:space="preserve">While there have been positive developments on some dimensions of gender equality over the last decades in Peru, these have not yet fully translated into changes in pervasive disparities:  the unequal distribution of unpaid domestic and caregiving work, the unequal access to quality economic opportunities, and differentiated agency outcomes. Moreover, rooted patriarchal social norms constrain the opportunities and aspirations of women and men from an early age and operate as a major barrier toward poverty reduction. </w:t>
      </w:r>
    </w:p>
    <w:p w14:paraId="6D8202D5" w14:textId="77777777" w:rsidR="002B3799" w:rsidRPr="002B3799" w:rsidRDefault="002B3799" w:rsidP="00290D56">
      <w:pPr>
        <w:spacing w:after="0"/>
        <w:jc w:val="both"/>
        <w:rPr>
          <w:rFonts w:asciiTheme="majorHAnsi" w:hAnsiTheme="majorHAnsi" w:cstheme="majorHAnsi"/>
        </w:rPr>
      </w:pPr>
    </w:p>
    <w:p w14:paraId="2FB3A55C" w14:textId="77777777" w:rsidR="002B3799" w:rsidRPr="002B3799" w:rsidRDefault="002B3799" w:rsidP="00290D56">
      <w:pPr>
        <w:spacing w:after="0"/>
        <w:jc w:val="both"/>
        <w:rPr>
          <w:rFonts w:asciiTheme="majorHAnsi" w:hAnsiTheme="majorHAnsi" w:cstheme="majorHAnsi"/>
        </w:rPr>
      </w:pPr>
      <w:r w:rsidRPr="002B3799">
        <w:rPr>
          <w:rFonts w:asciiTheme="majorHAnsi" w:hAnsiTheme="majorHAnsi" w:cstheme="majorHAnsi"/>
        </w:rPr>
        <w:t xml:space="preserve">Taxation and public spending are crucial policy levers that governments have at their disposal to change the distribution of income. Fiscal incidence analysis is a tool that allows measurement of who bears the burden of taxes and who receives the benefits of government spending.  According to this type of analysis, the Peruvian fiscal system generally worsens poverty but is effective in reducing inequality. Direct transfers increase the income of the poorest the most, compared to other population in other income groups. However, while transfers help alleviate poverty, indirect taxes counteract this effect, resulting in a net increase in poverty rates post-fiscal intervention.  </w:t>
      </w:r>
    </w:p>
    <w:p w14:paraId="19DB7731" w14:textId="77777777" w:rsidR="002B3799" w:rsidRPr="002B3799" w:rsidRDefault="002B3799" w:rsidP="00290D56">
      <w:pPr>
        <w:spacing w:after="0"/>
        <w:jc w:val="both"/>
        <w:rPr>
          <w:rFonts w:asciiTheme="majorHAnsi" w:hAnsiTheme="majorHAnsi" w:cstheme="majorHAnsi"/>
        </w:rPr>
      </w:pPr>
    </w:p>
    <w:p w14:paraId="13785231" w14:textId="77777777" w:rsidR="002B3799" w:rsidRPr="002B3799" w:rsidRDefault="002B3799" w:rsidP="00290D56">
      <w:pPr>
        <w:spacing w:after="0"/>
        <w:jc w:val="both"/>
        <w:rPr>
          <w:rFonts w:asciiTheme="majorHAnsi" w:hAnsiTheme="majorHAnsi" w:cstheme="majorHAnsi"/>
        </w:rPr>
      </w:pPr>
      <w:r w:rsidRPr="002B3799">
        <w:rPr>
          <w:rFonts w:asciiTheme="majorHAnsi" w:hAnsiTheme="majorHAnsi" w:cstheme="majorHAnsi"/>
        </w:rPr>
        <w:t xml:space="preserve">When it comes to the intersection of fiscal policy and gender equality, there is a growing body of research highlighting the importance of considering gender issues in taxation or showing that tax policy and tax reforms have differential impacts on women and men.  Fiscal policies for instance, may alter the distribution of unpaid and paid work within the household and/or reward people whose work is differentially distributed across these two types of work. Fiscal policies, for instance, may alter the distribution of unpaid and paid work within the household and/or reward people whose work is differentially distributed across these two types of work. Fiscal policies may also have impacts on different gendered household types (i.e., dual-earner, single-parent, nuclear, etc.), and have effects within and among households. In this context, a </w:t>
      </w:r>
      <w:r w:rsidRPr="002B3799">
        <w:rPr>
          <w:rFonts w:asciiTheme="majorHAnsi" w:hAnsiTheme="majorHAnsi" w:cstheme="majorHAnsi"/>
        </w:rPr>
        <w:lastRenderedPageBreak/>
        <w:t xml:space="preserve">progressive fiscal policy agenda has the potential to tackle distributional issues that affect certain groups of the population and work toward an explicit policy of gender equality.  </w:t>
      </w:r>
    </w:p>
    <w:p w14:paraId="09F5EEE8" w14:textId="77777777" w:rsidR="002B3799" w:rsidRPr="002B3799" w:rsidRDefault="002B3799" w:rsidP="00290D56">
      <w:pPr>
        <w:spacing w:after="0"/>
        <w:jc w:val="both"/>
        <w:rPr>
          <w:rFonts w:asciiTheme="majorHAnsi" w:hAnsiTheme="majorHAnsi" w:cstheme="majorHAnsi"/>
        </w:rPr>
      </w:pPr>
    </w:p>
    <w:p w14:paraId="3ADAEA3C" w14:textId="77777777" w:rsidR="002B3799" w:rsidRPr="002B3799" w:rsidRDefault="002B3799" w:rsidP="00290D56">
      <w:pPr>
        <w:spacing w:after="0"/>
        <w:jc w:val="both"/>
        <w:rPr>
          <w:rFonts w:asciiTheme="majorHAnsi" w:hAnsiTheme="majorHAnsi" w:cstheme="majorHAnsi"/>
        </w:rPr>
      </w:pPr>
      <w:r w:rsidRPr="002B3799">
        <w:rPr>
          <w:rFonts w:asciiTheme="majorHAnsi" w:hAnsiTheme="majorHAnsi" w:cstheme="majorHAnsi"/>
        </w:rPr>
        <w:t xml:space="preserve">Aiming to contribute to this agenda, this paper provides a comprehensive analysis of the gendered impacts of Peru’s fiscal system by capturing the differential effects of taxation and public spending on different types of households across the income distribution in the country. The study builds on the approach presented in Grown and Valodia (2010) and Greenspun (2019) for including the gender perspective in CEQ assessments by disaggregating impacts across households classified according to socio-demographic characteristics.  The approach of constructing household typologies based on demographic or economic characteristics that are relevant from a gender perspective, is increasingly being used in the literature to understand the distinct experiences of poverty for women and men (Grown and Valodia, 2010). </w:t>
      </w:r>
    </w:p>
    <w:p w14:paraId="7B58E339" w14:textId="77777777" w:rsidR="002B3799" w:rsidRPr="002B3799" w:rsidRDefault="002B3799" w:rsidP="00290D56">
      <w:pPr>
        <w:spacing w:after="0"/>
        <w:jc w:val="both"/>
        <w:rPr>
          <w:rFonts w:asciiTheme="majorHAnsi" w:hAnsiTheme="majorHAnsi" w:cstheme="majorHAnsi"/>
        </w:rPr>
      </w:pPr>
    </w:p>
    <w:p w14:paraId="1C120356" w14:textId="405CAA7D" w:rsidR="002B3799" w:rsidRPr="002B3799" w:rsidRDefault="002B3799" w:rsidP="00290D56">
      <w:pPr>
        <w:spacing w:after="0"/>
        <w:jc w:val="both"/>
        <w:rPr>
          <w:rFonts w:asciiTheme="majorHAnsi" w:hAnsiTheme="majorHAnsi" w:cstheme="majorHAnsi"/>
        </w:rPr>
      </w:pPr>
      <w:r w:rsidRPr="002B3799">
        <w:rPr>
          <w:rFonts w:asciiTheme="majorHAnsi" w:hAnsiTheme="majorHAnsi" w:cstheme="majorHAnsi"/>
        </w:rPr>
        <w:t xml:space="preserve">Specifically, this paper aims to contribute to the recent stream of work on gendered fiscal incidence analysis by (i) integrating additional household characteristics that are relevant to Peru’s context, such as the intensity of care needs or the reliance on agriculture </w:t>
      </w:r>
      <w:r w:rsidR="00557D52">
        <w:rPr>
          <w:rFonts w:asciiTheme="majorHAnsi" w:hAnsiTheme="majorHAnsi" w:cstheme="majorHAnsi"/>
        </w:rPr>
        <w:t>as the main source of</w:t>
      </w:r>
      <w:r w:rsidRPr="002B3799">
        <w:rPr>
          <w:rFonts w:asciiTheme="majorHAnsi" w:hAnsiTheme="majorHAnsi" w:cstheme="majorHAnsi"/>
        </w:rPr>
        <w:t xml:space="preserve"> income, and (ii) intersecting these characteristics with dependency -under the traditional definition, but also related to care dependency- to account for the gender lens. Intersecting dependency with caregiving intensity allows for better approximation of intra-household gender disparities in time use, which might limit women’s capacity to generate income. In addition, many households in Peru rely on agriculture a source for income and capturing this (together with dependency) better reflects the differentiated roles of men and women in these households. Based on the results, this paper also offers policy recommendations to enhance the progressiveness of Peru’s fiscal policies. </w:t>
      </w:r>
    </w:p>
    <w:p w14:paraId="7A16B701" w14:textId="77777777" w:rsidR="002B3799" w:rsidRPr="002B3799" w:rsidRDefault="002B3799" w:rsidP="00290D56">
      <w:pPr>
        <w:spacing w:after="0"/>
        <w:jc w:val="both"/>
        <w:rPr>
          <w:rFonts w:asciiTheme="majorHAnsi" w:hAnsiTheme="majorHAnsi" w:cstheme="majorHAnsi"/>
        </w:rPr>
      </w:pPr>
    </w:p>
    <w:p w14:paraId="5477AD7A" w14:textId="77777777" w:rsidR="002B3799" w:rsidRPr="002B3799" w:rsidRDefault="002B3799" w:rsidP="00290D56">
      <w:pPr>
        <w:spacing w:after="0"/>
        <w:jc w:val="both"/>
        <w:rPr>
          <w:rFonts w:asciiTheme="majorHAnsi" w:hAnsiTheme="majorHAnsi" w:cstheme="majorHAnsi"/>
        </w:rPr>
      </w:pPr>
      <w:r w:rsidRPr="002B3799">
        <w:rPr>
          <w:rFonts w:asciiTheme="majorHAnsi" w:hAnsiTheme="majorHAnsi" w:cstheme="majorHAnsi"/>
        </w:rPr>
        <w:t xml:space="preserve">Our analysis reveals important gendered impacts emerging from Peru’s fiscal system. Dependency and care needs play a crucial role in shaping the distributional impact of the system. Households with intensive care needs (also over-represented among the poor) are negatively affected by the fiscal system, especially nuclear, extended, and single-parent households. Cash transfers are particularly effective in reducing poverty for single mothers in households with care needs, compared to other households with intensive in care needs. In addition, the fiscal system has a differentiated impact on agriculture-reliant households, reducing their poverty levels, mainly due to these households receiving more transfers and paying fewer taxes compared to non-agricultural households. Overall, these findings support the need for a more progressive fiscal agenda. They contribute to a better understanding of how fiscal policies can promote greater gender equity by considering the varying needs and vulnerabilities of different household types. </w:t>
      </w:r>
    </w:p>
    <w:p w14:paraId="0E4714F0" w14:textId="77777777" w:rsidR="002B3799" w:rsidRPr="002B3799" w:rsidRDefault="002B3799" w:rsidP="00290D56">
      <w:pPr>
        <w:spacing w:after="0"/>
        <w:jc w:val="both"/>
        <w:rPr>
          <w:rFonts w:asciiTheme="majorHAnsi" w:hAnsiTheme="majorHAnsi" w:cstheme="majorHAnsi"/>
        </w:rPr>
      </w:pPr>
    </w:p>
    <w:p w14:paraId="00EFF46C" w14:textId="7A9FC71A" w:rsidR="005F2F7E" w:rsidRDefault="002B3799" w:rsidP="00290D56">
      <w:pPr>
        <w:spacing w:after="0"/>
        <w:jc w:val="both"/>
        <w:rPr>
          <w:rFonts w:asciiTheme="majorHAnsi" w:hAnsiTheme="majorHAnsi" w:cstheme="majorHAnsi"/>
        </w:rPr>
      </w:pPr>
      <w:r w:rsidRPr="002B3799">
        <w:rPr>
          <w:rFonts w:asciiTheme="majorHAnsi" w:hAnsiTheme="majorHAnsi" w:cstheme="majorHAnsi"/>
        </w:rPr>
        <w:t xml:space="preserve">The paper is structured as follows: Section 2 provides context on gender disparities in Peru. Section 3 outlines the methodology used for the analysis. Section 4 presents the results of the fiscal incidence analysis, using relevant household typologies which capture the gender lens. Section 5 concludes with recommendations for enhancing the capacity of Peru’s fiscal system to contribute to gender equality. </w:t>
      </w:r>
    </w:p>
    <w:p w14:paraId="4BC9FC8B" w14:textId="77777777" w:rsidR="005617DF" w:rsidRPr="001205F9" w:rsidRDefault="005617DF" w:rsidP="00290D56">
      <w:pPr>
        <w:spacing w:after="0"/>
        <w:jc w:val="both"/>
        <w:rPr>
          <w:rFonts w:asciiTheme="majorHAnsi" w:hAnsiTheme="majorHAnsi" w:cstheme="majorHAnsi"/>
        </w:rPr>
      </w:pPr>
    </w:p>
    <w:p w14:paraId="1C4F8447" w14:textId="65DD9DBF" w:rsidR="001205F9" w:rsidRPr="00E2214B" w:rsidRDefault="001205F9" w:rsidP="00290D56">
      <w:pPr>
        <w:pStyle w:val="Heading1"/>
        <w:spacing w:before="0"/>
        <w:jc w:val="both"/>
      </w:pPr>
      <w:r w:rsidRPr="00E2214B">
        <w:t>Gender Disparities in Peru</w:t>
      </w:r>
      <w:r w:rsidR="00420717">
        <w:t>: A multidimensional challenge</w:t>
      </w:r>
    </w:p>
    <w:p w14:paraId="31926439" w14:textId="77777777" w:rsidR="001205F9" w:rsidRPr="001205F9" w:rsidRDefault="001205F9" w:rsidP="00290D56">
      <w:pPr>
        <w:spacing w:after="0"/>
        <w:jc w:val="both"/>
        <w:rPr>
          <w:rFonts w:asciiTheme="majorHAnsi" w:hAnsiTheme="majorHAnsi" w:cstheme="majorHAnsi"/>
        </w:rPr>
      </w:pPr>
    </w:p>
    <w:p w14:paraId="5B156B99" w14:textId="2F45FE27" w:rsidR="00295C50" w:rsidRDefault="00295C50" w:rsidP="00290D56">
      <w:pPr>
        <w:spacing w:after="0"/>
        <w:jc w:val="both"/>
        <w:rPr>
          <w:rFonts w:asciiTheme="majorHAnsi" w:hAnsiTheme="majorHAnsi" w:cstheme="majorHAnsi"/>
        </w:rPr>
      </w:pPr>
      <w:r w:rsidRPr="00295C50">
        <w:rPr>
          <w:rFonts w:asciiTheme="majorHAnsi" w:hAnsiTheme="majorHAnsi" w:cstheme="majorHAnsi"/>
        </w:rPr>
        <w:t xml:space="preserve">Before </w:t>
      </w:r>
      <w:r w:rsidR="000E7ABB">
        <w:rPr>
          <w:rFonts w:asciiTheme="majorHAnsi" w:hAnsiTheme="majorHAnsi" w:cstheme="majorHAnsi"/>
        </w:rPr>
        <w:t>delving into</w:t>
      </w:r>
      <w:r w:rsidR="000E7ABB" w:rsidRPr="00295C50">
        <w:rPr>
          <w:rFonts w:asciiTheme="majorHAnsi" w:hAnsiTheme="majorHAnsi" w:cstheme="majorHAnsi"/>
        </w:rPr>
        <w:t xml:space="preserve"> </w:t>
      </w:r>
      <w:r w:rsidRPr="00295C50">
        <w:rPr>
          <w:rFonts w:asciiTheme="majorHAnsi" w:hAnsiTheme="majorHAnsi" w:cstheme="majorHAnsi"/>
        </w:rPr>
        <w:t xml:space="preserve">the fiscal incidence analysis, it is </w:t>
      </w:r>
      <w:r w:rsidR="007D4D82">
        <w:rPr>
          <w:rFonts w:asciiTheme="majorHAnsi" w:hAnsiTheme="majorHAnsi" w:cstheme="majorHAnsi"/>
        </w:rPr>
        <w:t>important</w:t>
      </w:r>
      <w:r w:rsidRPr="00295C50">
        <w:rPr>
          <w:rFonts w:asciiTheme="majorHAnsi" w:hAnsiTheme="majorHAnsi" w:cstheme="majorHAnsi"/>
        </w:rPr>
        <w:t xml:space="preserve"> to understand the context of gender disparities in Peru. This section provides an overview of key areas where gender gaps persist, drawing on </w:t>
      </w:r>
      <w:r w:rsidRPr="00295C50">
        <w:rPr>
          <w:rFonts w:asciiTheme="majorHAnsi" w:hAnsiTheme="majorHAnsi" w:cstheme="majorHAnsi"/>
        </w:rPr>
        <w:lastRenderedPageBreak/>
        <w:t>data from various sources including</w:t>
      </w:r>
      <w:r w:rsidR="009D5159">
        <w:rPr>
          <w:rFonts w:asciiTheme="majorHAnsi" w:hAnsiTheme="majorHAnsi" w:cstheme="majorHAnsi"/>
        </w:rPr>
        <w:t>,</w:t>
      </w:r>
      <w:r w:rsidRPr="00295C50">
        <w:rPr>
          <w:rFonts w:asciiTheme="majorHAnsi" w:hAnsiTheme="majorHAnsi" w:cstheme="majorHAnsi"/>
        </w:rPr>
        <w:t xml:space="preserve"> the </w:t>
      </w:r>
      <w:r w:rsidR="000C0D89" w:rsidRPr="000C0D89">
        <w:rPr>
          <w:rFonts w:asciiTheme="majorHAnsi" w:hAnsiTheme="majorHAnsi" w:cstheme="majorHAnsi"/>
          <w:i/>
          <w:iCs/>
        </w:rPr>
        <w:t>Instituto Nacional de Estadística e Informática</w:t>
      </w:r>
      <w:r w:rsidRPr="00295C50">
        <w:rPr>
          <w:rFonts w:asciiTheme="majorHAnsi" w:hAnsiTheme="majorHAnsi" w:cstheme="majorHAnsi"/>
        </w:rPr>
        <w:t xml:space="preserve"> (INEI)</w:t>
      </w:r>
      <w:r w:rsidR="002251F1">
        <w:rPr>
          <w:rFonts w:asciiTheme="majorHAnsi" w:hAnsiTheme="majorHAnsi" w:cstheme="majorHAnsi"/>
        </w:rPr>
        <w:t xml:space="preserve"> </w:t>
      </w:r>
      <w:r w:rsidRPr="00295C50">
        <w:rPr>
          <w:rFonts w:asciiTheme="majorHAnsi" w:hAnsiTheme="majorHAnsi" w:cstheme="majorHAnsi"/>
        </w:rPr>
        <w:t>and the World Bank</w:t>
      </w:r>
      <w:r w:rsidR="000C0D89">
        <w:rPr>
          <w:rFonts w:asciiTheme="majorHAnsi" w:hAnsiTheme="majorHAnsi" w:cstheme="majorHAnsi"/>
        </w:rPr>
        <w:t>’</w:t>
      </w:r>
      <w:r w:rsidRPr="00295C50">
        <w:rPr>
          <w:rFonts w:asciiTheme="majorHAnsi" w:hAnsiTheme="majorHAnsi" w:cstheme="majorHAnsi"/>
        </w:rPr>
        <w:t>s Women, Business and the Law.</w:t>
      </w:r>
    </w:p>
    <w:p w14:paraId="5FCDA73E" w14:textId="77777777" w:rsidR="00295C50" w:rsidRDefault="00295C50" w:rsidP="00290D56">
      <w:pPr>
        <w:spacing w:after="0"/>
        <w:jc w:val="both"/>
        <w:rPr>
          <w:rFonts w:asciiTheme="majorHAnsi" w:hAnsiTheme="majorHAnsi" w:cstheme="majorHAnsi"/>
        </w:rPr>
      </w:pPr>
    </w:p>
    <w:p w14:paraId="1762C86A" w14:textId="77777777" w:rsidR="00286D37" w:rsidRDefault="000E7ABB" w:rsidP="00290D56">
      <w:pPr>
        <w:spacing w:after="0"/>
        <w:jc w:val="both"/>
        <w:rPr>
          <w:rFonts w:asciiTheme="majorHAnsi" w:hAnsiTheme="majorHAnsi" w:cstheme="majorHAnsi"/>
        </w:rPr>
      </w:pPr>
      <w:r>
        <w:rPr>
          <w:rFonts w:asciiTheme="majorHAnsi" w:hAnsiTheme="majorHAnsi" w:cstheme="majorHAnsi"/>
        </w:rPr>
        <w:t>While</w:t>
      </w:r>
      <w:r w:rsidR="008C6FBB">
        <w:rPr>
          <w:rFonts w:asciiTheme="majorHAnsi" w:hAnsiTheme="majorHAnsi" w:cstheme="majorHAnsi"/>
        </w:rPr>
        <w:t xml:space="preserve"> Peru has </w:t>
      </w:r>
      <w:r>
        <w:rPr>
          <w:rFonts w:asciiTheme="majorHAnsi" w:hAnsiTheme="majorHAnsi" w:cstheme="majorHAnsi"/>
        </w:rPr>
        <w:t>made</w:t>
      </w:r>
      <w:r w:rsidR="008C6FBB">
        <w:rPr>
          <w:rFonts w:asciiTheme="majorHAnsi" w:hAnsiTheme="majorHAnsi" w:cstheme="majorHAnsi"/>
        </w:rPr>
        <w:t xml:space="preserve"> substantial progress in </w:t>
      </w:r>
      <w:r w:rsidR="00D01387">
        <w:rPr>
          <w:rFonts w:asciiTheme="majorHAnsi" w:hAnsiTheme="majorHAnsi" w:cstheme="majorHAnsi"/>
        </w:rPr>
        <w:t>some</w:t>
      </w:r>
      <w:r w:rsidR="008C6FBB">
        <w:rPr>
          <w:rFonts w:asciiTheme="majorHAnsi" w:hAnsiTheme="majorHAnsi" w:cstheme="majorHAnsi"/>
        </w:rPr>
        <w:t xml:space="preserve"> dimensions of gender equality over the past decade, </w:t>
      </w:r>
      <w:r w:rsidR="00D01387">
        <w:rPr>
          <w:rFonts w:asciiTheme="majorHAnsi" w:hAnsiTheme="majorHAnsi" w:cstheme="majorHAnsi"/>
        </w:rPr>
        <w:t xml:space="preserve">significant and persistent gaps </w:t>
      </w:r>
      <w:r w:rsidR="00361D9D">
        <w:rPr>
          <w:rFonts w:asciiTheme="majorHAnsi" w:hAnsiTheme="majorHAnsi" w:cstheme="majorHAnsi"/>
        </w:rPr>
        <w:t xml:space="preserve">remain </w:t>
      </w:r>
      <w:r w:rsidR="00D01387">
        <w:rPr>
          <w:rFonts w:asciiTheme="majorHAnsi" w:hAnsiTheme="majorHAnsi" w:cstheme="majorHAnsi"/>
        </w:rPr>
        <w:t xml:space="preserve">in various other areas. </w:t>
      </w:r>
      <w:r w:rsidR="005433E7">
        <w:rPr>
          <w:rFonts w:asciiTheme="majorHAnsi" w:hAnsiTheme="majorHAnsi" w:cstheme="majorHAnsi"/>
        </w:rPr>
        <w:t xml:space="preserve">According to the </w:t>
      </w:r>
      <w:r w:rsidR="00423230">
        <w:rPr>
          <w:rFonts w:asciiTheme="majorHAnsi" w:hAnsiTheme="majorHAnsi" w:cstheme="majorHAnsi"/>
        </w:rPr>
        <w:t>UNDP’s</w:t>
      </w:r>
      <w:r w:rsidR="005433E7">
        <w:rPr>
          <w:rFonts w:asciiTheme="majorHAnsi" w:hAnsiTheme="majorHAnsi" w:cstheme="majorHAnsi"/>
        </w:rPr>
        <w:t xml:space="preserve"> 2021</w:t>
      </w:r>
      <w:r w:rsidR="005E2F2C">
        <w:rPr>
          <w:rFonts w:asciiTheme="majorHAnsi" w:hAnsiTheme="majorHAnsi" w:cstheme="majorHAnsi"/>
        </w:rPr>
        <w:t xml:space="preserve"> Gender </w:t>
      </w:r>
      <w:r w:rsidR="00BB4F56">
        <w:rPr>
          <w:rFonts w:asciiTheme="majorHAnsi" w:hAnsiTheme="majorHAnsi" w:cstheme="majorHAnsi"/>
        </w:rPr>
        <w:t>Inequality Index (GII)</w:t>
      </w:r>
      <w:r w:rsidR="00423230">
        <w:rPr>
          <w:rFonts w:asciiTheme="majorHAnsi" w:hAnsiTheme="majorHAnsi" w:cstheme="majorHAnsi"/>
        </w:rPr>
        <w:t>,</w:t>
      </w:r>
      <w:r w:rsidR="005433E7">
        <w:rPr>
          <w:rFonts w:asciiTheme="majorHAnsi" w:hAnsiTheme="majorHAnsi" w:cstheme="majorHAnsi"/>
        </w:rPr>
        <w:t xml:space="preserve"> Peru ranks 90</w:t>
      </w:r>
      <w:r w:rsidR="00D23E77">
        <w:rPr>
          <w:rFonts w:asciiTheme="majorHAnsi" w:hAnsiTheme="majorHAnsi" w:cstheme="majorHAnsi"/>
        </w:rPr>
        <w:t>th</w:t>
      </w:r>
      <w:r w:rsidR="005433E7">
        <w:rPr>
          <w:rFonts w:asciiTheme="majorHAnsi" w:hAnsiTheme="majorHAnsi" w:cstheme="majorHAnsi"/>
        </w:rPr>
        <w:t xml:space="preserve"> out of 170 countries </w:t>
      </w:r>
      <w:r w:rsidR="00006687">
        <w:rPr>
          <w:rFonts w:asciiTheme="majorHAnsi" w:hAnsiTheme="majorHAnsi" w:cstheme="majorHAnsi"/>
        </w:rPr>
        <w:t>and 13</w:t>
      </w:r>
      <w:r w:rsidR="00D23E77">
        <w:rPr>
          <w:rFonts w:asciiTheme="majorHAnsi" w:hAnsiTheme="majorHAnsi" w:cstheme="majorHAnsi"/>
        </w:rPr>
        <w:t>th</w:t>
      </w:r>
      <w:r w:rsidR="00006687">
        <w:rPr>
          <w:rFonts w:asciiTheme="majorHAnsi" w:hAnsiTheme="majorHAnsi" w:cstheme="majorHAnsi"/>
        </w:rPr>
        <w:t xml:space="preserve"> out of the </w:t>
      </w:r>
      <w:r w:rsidR="00A64F25">
        <w:rPr>
          <w:rFonts w:asciiTheme="majorHAnsi" w:hAnsiTheme="majorHAnsi" w:cstheme="majorHAnsi"/>
        </w:rPr>
        <w:t xml:space="preserve">27 countries in Latin America and the Caribbean. </w:t>
      </w:r>
      <w:r w:rsidR="00286D37" w:rsidRPr="00286D37">
        <w:rPr>
          <w:rFonts w:asciiTheme="majorHAnsi" w:hAnsiTheme="majorHAnsi" w:cstheme="majorHAnsi"/>
        </w:rPr>
        <w:t>This ranking reflects both achievements and ongoing challenges in gender equality.</w:t>
      </w:r>
      <w:r w:rsidR="00286D37">
        <w:rPr>
          <w:rFonts w:asciiTheme="majorHAnsi" w:hAnsiTheme="majorHAnsi" w:cstheme="majorHAnsi"/>
        </w:rPr>
        <w:t xml:space="preserve"> </w:t>
      </w:r>
    </w:p>
    <w:p w14:paraId="5E0BDF83" w14:textId="77777777" w:rsidR="00286D37" w:rsidRDefault="00286D37" w:rsidP="00290D56">
      <w:pPr>
        <w:spacing w:after="0"/>
        <w:jc w:val="both"/>
        <w:rPr>
          <w:rFonts w:asciiTheme="majorHAnsi" w:hAnsiTheme="majorHAnsi" w:cstheme="majorHAnsi"/>
        </w:rPr>
      </w:pPr>
    </w:p>
    <w:p w14:paraId="5D892FC5" w14:textId="7C03C50D" w:rsidR="00044A3D" w:rsidRDefault="00044A3D" w:rsidP="00290D56">
      <w:pPr>
        <w:spacing w:after="0"/>
        <w:jc w:val="both"/>
        <w:rPr>
          <w:rFonts w:asciiTheme="majorHAnsi" w:hAnsiTheme="majorHAnsi" w:cstheme="majorHAnsi"/>
        </w:rPr>
      </w:pPr>
      <w:r>
        <w:rPr>
          <w:rFonts w:asciiTheme="majorHAnsi" w:hAnsiTheme="majorHAnsi" w:cstheme="majorHAnsi"/>
        </w:rPr>
        <w:t xml:space="preserve">For </w:t>
      </w:r>
      <w:r w:rsidR="000E7759">
        <w:rPr>
          <w:rFonts w:asciiTheme="majorHAnsi" w:hAnsiTheme="majorHAnsi" w:cstheme="majorHAnsi"/>
        </w:rPr>
        <w:t>instance</w:t>
      </w:r>
      <w:r>
        <w:rPr>
          <w:rFonts w:asciiTheme="majorHAnsi" w:hAnsiTheme="majorHAnsi" w:cstheme="majorHAnsi"/>
        </w:rPr>
        <w:t>,</w:t>
      </w:r>
      <w:r w:rsidR="00D23E77">
        <w:rPr>
          <w:rFonts w:asciiTheme="majorHAnsi" w:hAnsiTheme="majorHAnsi" w:cstheme="majorHAnsi"/>
        </w:rPr>
        <w:t xml:space="preserve"> notable improvements have been made i</w:t>
      </w:r>
      <w:r w:rsidRPr="00295C50">
        <w:rPr>
          <w:rFonts w:asciiTheme="majorHAnsi" w:hAnsiTheme="majorHAnsi" w:cstheme="majorHAnsi"/>
        </w:rPr>
        <w:t>n health and reproductive rights</w:t>
      </w:r>
      <w:r w:rsidR="008121AC">
        <w:rPr>
          <w:rFonts w:asciiTheme="majorHAnsi" w:hAnsiTheme="majorHAnsi" w:cstheme="majorHAnsi"/>
        </w:rPr>
        <w:t>.</w:t>
      </w:r>
      <w:r>
        <w:rPr>
          <w:rFonts w:asciiTheme="majorHAnsi" w:hAnsiTheme="majorHAnsi" w:cstheme="majorHAnsi"/>
        </w:rPr>
        <w:t xml:space="preserve"> </w:t>
      </w:r>
      <w:r w:rsidR="008121AC">
        <w:rPr>
          <w:rFonts w:asciiTheme="majorHAnsi" w:hAnsiTheme="majorHAnsi" w:cstheme="majorHAnsi"/>
        </w:rPr>
        <w:t>M</w:t>
      </w:r>
      <w:r w:rsidRPr="00295C50">
        <w:rPr>
          <w:rFonts w:asciiTheme="majorHAnsi" w:hAnsiTheme="majorHAnsi" w:cstheme="majorHAnsi"/>
        </w:rPr>
        <w:t xml:space="preserve">aternal mortality </w:t>
      </w:r>
      <w:r w:rsidR="00112FD6">
        <w:rPr>
          <w:rFonts w:asciiTheme="majorHAnsi" w:hAnsiTheme="majorHAnsi" w:cstheme="majorHAnsi"/>
        </w:rPr>
        <w:t>declining</w:t>
      </w:r>
      <w:r w:rsidRPr="00295C50">
        <w:rPr>
          <w:rFonts w:asciiTheme="majorHAnsi" w:hAnsiTheme="majorHAnsi" w:cstheme="majorHAnsi"/>
        </w:rPr>
        <w:t xml:space="preserve"> from 113 to 69 deaths per 100,000 live births between 2000 and 2020</w:t>
      </w:r>
      <w:r>
        <w:rPr>
          <w:rFonts w:asciiTheme="majorHAnsi" w:hAnsiTheme="majorHAnsi" w:cstheme="majorHAnsi"/>
        </w:rPr>
        <w:t>. However,</w:t>
      </w:r>
      <w:r w:rsidR="00112FD6">
        <w:rPr>
          <w:rFonts w:asciiTheme="majorHAnsi" w:hAnsiTheme="majorHAnsi" w:cstheme="majorHAnsi"/>
        </w:rPr>
        <w:t xml:space="preserve"> this rate still exceeds those in </w:t>
      </w:r>
      <w:r w:rsidR="00281A27">
        <w:rPr>
          <w:rFonts w:asciiTheme="majorHAnsi" w:hAnsiTheme="majorHAnsi" w:cstheme="majorHAnsi"/>
        </w:rPr>
        <w:t xml:space="preserve">neighboring countries like </w:t>
      </w:r>
      <w:r w:rsidRPr="00295C50">
        <w:rPr>
          <w:rFonts w:asciiTheme="majorHAnsi" w:hAnsiTheme="majorHAnsi" w:cstheme="majorHAnsi"/>
        </w:rPr>
        <w:t xml:space="preserve">Chile and the OECD average. </w:t>
      </w:r>
      <w:r w:rsidR="00281A27">
        <w:rPr>
          <w:rFonts w:asciiTheme="majorHAnsi" w:hAnsiTheme="majorHAnsi" w:cstheme="majorHAnsi"/>
        </w:rPr>
        <w:t>A</w:t>
      </w:r>
      <w:r w:rsidRPr="00295C50">
        <w:rPr>
          <w:rFonts w:asciiTheme="majorHAnsi" w:hAnsiTheme="majorHAnsi" w:cstheme="majorHAnsi"/>
        </w:rPr>
        <w:t xml:space="preserve">dolescent pregnancy remains </w:t>
      </w:r>
      <w:r w:rsidR="00C96757">
        <w:rPr>
          <w:rFonts w:asciiTheme="majorHAnsi" w:hAnsiTheme="majorHAnsi" w:cstheme="majorHAnsi"/>
        </w:rPr>
        <w:t>a</w:t>
      </w:r>
      <w:r w:rsidR="00281A27">
        <w:rPr>
          <w:rFonts w:asciiTheme="majorHAnsi" w:hAnsiTheme="majorHAnsi" w:cstheme="majorHAnsi"/>
        </w:rPr>
        <w:t xml:space="preserve"> critical</w:t>
      </w:r>
      <w:r w:rsidRPr="00295C50">
        <w:rPr>
          <w:rFonts w:asciiTheme="majorHAnsi" w:hAnsiTheme="majorHAnsi" w:cstheme="majorHAnsi"/>
        </w:rPr>
        <w:t xml:space="preserve"> issue, with 56 births per 1,000 women aged 15-19 in 2022. </w:t>
      </w:r>
      <w:r w:rsidR="008121AC">
        <w:rPr>
          <w:rFonts w:asciiTheme="majorHAnsi" w:hAnsiTheme="majorHAnsi" w:cstheme="majorHAnsi"/>
        </w:rPr>
        <w:t>While</w:t>
      </w:r>
      <w:r w:rsidRPr="00295C50">
        <w:rPr>
          <w:rFonts w:asciiTheme="majorHAnsi" w:hAnsiTheme="majorHAnsi" w:cstheme="majorHAnsi"/>
        </w:rPr>
        <w:t xml:space="preserve"> 95.2</w:t>
      </w:r>
      <w:r>
        <w:rPr>
          <w:rFonts w:asciiTheme="majorHAnsi" w:hAnsiTheme="majorHAnsi" w:cstheme="majorHAnsi"/>
        </w:rPr>
        <w:t xml:space="preserve"> percent</w:t>
      </w:r>
      <w:r w:rsidRPr="00295C50">
        <w:rPr>
          <w:rFonts w:asciiTheme="majorHAnsi" w:hAnsiTheme="majorHAnsi" w:cstheme="majorHAnsi"/>
        </w:rPr>
        <w:t xml:space="preserve"> of Peruvian women received qualified care during childbirth in 2023, </w:t>
      </w:r>
      <w:r w:rsidR="00C96757" w:rsidRPr="00C96757">
        <w:rPr>
          <w:rFonts w:asciiTheme="majorHAnsi" w:hAnsiTheme="majorHAnsi" w:cstheme="majorHAnsi"/>
        </w:rPr>
        <w:t xml:space="preserve">access to such services is </w:t>
      </w:r>
      <w:r w:rsidR="000A4FBA">
        <w:rPr>
          <w:rFonts w:asciiTheme="majorHAnsi" w:hAnsiTheme="majorHAnsi" w:cstheme="majorHAnsi"/>
        </w:rPr>
        <w:t xml:space="preserve">significantly </w:t>
      </w:r>
      <w:r w:rsidR="00C96757" w:rsidRPr="00C96757">
        <w:rPr>
          <w:rFonts w:asciiTheme="majorHAnsi" w:hAnsiTheme="majorHAnsi" w:cstheme="majorHAnsi"/>
        </w:rPr>
        <w:t>lower (65.8</w:t>
      </w:r>
      <w:r w:rsidR="00F33D54">
        <w:rPr>
          <w:rFonts w:asciiTheme="majorHAnsi" w:hAnsiTheme="majorHAnsi" w:cstheme="majorHAnsi"/>
        </w:rPr>
        <w:t xml:space="preserve"> percent</w:t>
      </w:r>
      <w:r w:rsidR="00C96757" w:rsidRPr="00C96757">
        <w:rPr>
          <w:rFonts w:asciiTheme="majorHAnsi" w:hAnsiTheme="majorHAnsi" w:cstheme="majorHAnsi"/>
        </w:rPr>
        <w:t>) among women without formal education</w:t>
      </w:r>
      <w:r w:rsidR="000A4FBA">
        <w:rPr>
          <w:rFonts w:asciiTheme="majorHAnsi" w:hAnsiTheme="majorHAnsi" w:cstheme="majorHAnsi"/>
        </w:rPr>
        <w:t>, highlighting persistent disparities based on educational attainment</w:t>
      </w:r>
      <w:r w:rsidR="00C96757" w:rsidRPr="00C96757">
        <w:rPr>
          <w:rFonts w:asciiTheme="majorHAnsi" w:hAnsiTheme="majorHAnsi" w:cstheme="majorHAnsi"/>
        </w:rPr>
        <w:t>.</w:t>
      </w:r>
    </w:p>
    <w:p w14:paraId="6B9BEC7F" w14:textId="77777777" w:rsidR="00C96757" w:rsidRDefault="00C96757" w:rsidP="00290D56">
      <w:pPr>
        <w:spacing w:after="0"/>
        <w:jc w:val="both"/>
        <w:rPr>
          <w:rFonts w:asciiTheme="majorHAnsi" w:hAnsiTheme="majorHAnsi" w:cstheme="majorHAnsi"/>
        </w:rPr>
      </w:pPr>
    </w:p>
    <w:p w14:paraId="66B6E5D1" w14:textId="770922AF" w:rsidR="008C6FBB" w:rsidRDefault="00272C48" w:rsidP="00290D56">
      <w:pPr>
        <w:spacing w:after="0"/>
        <w:jc w:val="both"/>
        <w:rPr>
          <w:rFonts w:asciiTheme="majorHAnsi" w:hAnsiTheme="majorHAnsi" w:cstheme="majorHAnsi"/>
        </w:rPr>
      </w:pPr>
      <w:r w:rsidRPr="00272C48">
        <w:rPr>
          <w:rFonts w:asciiTheme="majorHAnsi" w:hAnsiTheme="majorHAnsi" w:cstheme="majorHAnsi"/>
        </w:rPr>
        <w:t>Peru</w:t>
      </w:r>
      <w:r w:rsidR="007D6783">
        <w:rPr>
          <w:rFonts w:asciiTheme="majorHAnsi" w:hAnsiTheme="majorHAnsi" w:cstheme="majorHAnsi"/>
        </w:rPr>
        <w:t>’</w:t>
      </w:r>
      <w:r w:rsidRPr="00272C48">
        <w:rPr>
          <w:rFonts w:asciiTheme="majorHAnsi" w:hAnsiTheme="majorHAnsi" w:cstheme="majorHAnsi"/>
        </w:rPr>
        <w:t>s progress in gender equality has been particularly notable in education, where parity in enrollment has been achieved across all education levels. Small reverse gaps even exist in secondary and tertiary education, as well as in years of schooling. However, when adjusted for learning outcomes, boys slightly outperform girls in terms of learning-adjusted years of schooling</w:t>
      </w:r>
      <w:r w:rsidR="00F04D1D" w:rsidRPr="00F04D1D">
        <w:rPr>
          <w:rFonts w:asciiTheme="majorHAnsi" w:hAnsiTheme="majorHAnsi" w:cstheme="majorHAnsi"/>
        </w:rPr>
        <w:t xml:space="preserve"> (</w:t>
      </w:r>
      <w:r w:rsidR="00000C08">
        <w:rPr>
          <w:rFonts w:asciiTheme="majorHAnsi" w:hAnsiTheme="majorHAnsi" w:cstheme="majorHAnsi"/>
        </w:rPr>
        <w:t>World Bank</w:t>
      </w:r>
      <w:r w:rsidR="00F04D1D" w:rsidRPr="00F04D1D">
        <w:rPr>
          <w:rFonts w:asciiTheme="majorHAnsi" w:hAnsiTheme="majorHAnsi" w:cstheme="majorHAnsi"/>
        </w:rPr>
        <w:t>, 2023).</w:t>
      </w:r>
    </w:p>
    <w:p w14:paraId="2C7685C7" w14:textId="77777777" w:rsidR="000F5098" w:rsidRDefault="000F5098" w:rsidP="00290D56">
      <w:pPr>
        <w:spacing w:after="0"/>
        <w:jc w:val="both"/>
        <w:rPr>
          <w:rFonts w:asciiTheme="majorHAnsi" w:hAnsiTheme="majorHAnsi" w:cstheme="majorHAnsi"/>
        </w:rPr>
      </w:pPr>
    </w:p>
    <w:p w14:paraId="1285990C" w14:textId="4B6D11E2" w:rsidR="004826FD" w:rsidRDefault="00EC52D2" w:rsidP="00290D56">
      <w:pPr>
        <w:spacing w:after="0"/>
        <w:jc w:val="both"/>
        <w:rPr>
          <w:rFonts w:asciiTheme="majorHAnsi" w:hAnsiTheme="majorHAnsi" w:cstheme="majorHAnsi"/>
        </w:rPr>
      </w:pPr>
      <w:r w:rsidRPr="00EC52D2">
        <w:rPr>
          <w:rFonts w:asciiTheme="majorHAnsi" w:hAnsiTheme="majorHAnsi" w:cstheme="majorHAnsi"/>
        </w:rPr>
        <w:t xml:space="preserve">Despite educational parity, </w:t>
      </w:r>
      <w:r w:rsidR="002B7247">
        <w:rPr>
          <w:rFonts w:asciiTheme="majorHAnsi" w:hAnsiTheme="majorHAnsi" w:cstheme="majorHAnsi"/>
        </w:rPr>
        <w:t>significant gender gaps persist in economic participation. W</w:t>
      </w:r>
      <w:r w:rsidR="00C10DE6" w:rsidRPr="00C10DE6">
        <w:rPr>
          <w:rFonts w:asciiTheme="majorHAnsi" w:hAnsiTheme="majorHAnsi" w:cstheme="majorHAnsi"/>
        </w:rPr>
        <w:t xml:space="preserve">omen </w:t>
      </w:r>
      <w:r w:rsidR="002B7247">
        <w:rPr>
          <w:rFonts w:asciiTheme="majorHAnsi" w:hAnsiTheme="majorHAnsi" w:cstheme="majorHAnsi"/>
        </w:rPr>
        <w:t xml:space="preserve">in Peru </w:t>
      </w:r>
      <w:r w:rsidR="00C10DE6" w:rsidRPr="00C10DE6">
        <w:rPr>
          <w:rFonts w:asciiTheme="majorHAnsi" w:hAnsiTheme="majorHAnsi" w:cstheme="majorHAnsi"/>
        </w:rPr>
        <w:t xml:space="preserve">participate less in the </w:t>
      </w:r>
      <w:r w:rsidR="000A59F1">
        <w:rPr>
          <w:rFonts w:asciiTheme="majorHAnsi" w:hAnsiTheme="majorHAnsi" w:cstheme="majorHAnsi"/>
        </w:rPr>
        <w:t>labor force</w:t>
      </w:r>
      <w:r w:rsidR="00C10DE6" w:rsidRPr="00C10DE6">
        <w:rPr>
          <w:rFonts w:asciiTheme="majorHAnsi" w:hAnsiTheme="majorHAnsi" w:cstheme="majorHAnsi"/>
        </w:rPr>
        <w:t xml:space="preserve">, </w:t>
      </w:r>
      <w:r w:rsidR="000A59F1">
        <w:rPr>
          <w:rFonts w:asciiTheme="majorHAnsi" w:hAnsiTheme="majorHAnsi" w:cstheme="majorHAnsi"/>
        </w:rPr>
        <w:t>face higher unemployment rates</w:t>
      </w:r>
      <w:r w:rsidR="00C10DE6" w:rsidRPr="00C10DE6">
        <w:rPr>
          <w:rFonts w:asciiTheme="majorHAnsi" w:hAnsiTheme="majorHAnsi" w:cstheme="majorHAnsi"/>
        </w:rPr>
        <w:t xml:space="preserve">, </w:t>
      </w:r>
      <w:r w:rsidR="000A59F1">
        <w:rPr>
          <w:rFonts w:asciiTheme="majorHAnsi" w:hAnsiTheme="majorHAnsi" w:cstheme="majorHAnsi"/>
        </w:rPr>
        <w:t>often hold lower-quality</w:t>
      </w:r>
      <w:r w:rsidR="00C10DE6" w:rsidRPr="00C10DE6">
        <w:rPr>
          <w:rFonts w:asciiTheme="majorHAnsi" w:hAnsiTheme="majorHAnsi" w:cstheme="majorHAnsi"/>
        </w:rPr>
        <w:t xml:space="preserve"> jobs</w:t>
      </w:r>
      <w:r w:rsidR="00A07810">
        <w:rPr>
          <w:rFonts w:asciiTheme="majorHAnsi" w:hAnsiTheme="majorHAnsi" w:cstheme="majorHAnsi"/>
        </w:rPr>
        <w:t>,</w:t>
      </w:r>
      <w:r w:rsidR="00C10DE6" w:rsidRPr="00C10DE6">
        <w:rPr>
          <w:rFonts w:asciiTheme="majorHAnsi" w:hAnsiTheme="majorHAnsi" w:cstheme="majorHAnsi"/>
        </w:rPr>
        <w:t xml:space="preserve"> and earn less than their male counterparts</w:t>
      </w:r>
      <w:r w:rsidRPr="00EC52D2">
        <w:rPr>
          <w:rFonts w:asciiTheme="majorHAnsi" w:hAnsiTheme="majorHAnsi" w:cstheme="majorHAnsi"/>
        </w:rPr>
        <w:t>. Women’s labor force participation, while</w:t>
      </w:r>
      <w:r w:rsidR="00A07810">
        <w:rPr>
          <w:rFonts w:asciiTheme="majorHAnsi" w:hAnsiTheme="majorHAnsi" w:cstheme="majorHAnsi"/>
        </w:rPr>
        <w:t xml:space="preserve"> relatively high for the region at 6</w:t>
      </w:r>
      <w:r w:rsidRPr="00EC52D2">
        <w:rPr>
          <w:rFonts w:asciiTheme="majorHAnsi" w:hAnsiTheme="majorHAnsi" w:cstheme="majorHAnsi"/>
        </w:rPr>
        <w:t>5.1</w:t>
      </w:r>
      <w:r w:rsidR="00D3031B">
        <w:rPr>
          <w:rFonts w:asciiTheme="majorHAnsi" w:hAnsiTheme="majorHAnsi" w:cstheme="majorHAnsi"/>
        </w:rPr>
        <w:t xml:space="preserve"> percent</w:t>
      </w:r>
      <w:r w:rsidRPr="00EC52D2">
        <w:rPr>
          <w:rFonts w:asciiTheme="majorHAnsi" w:hAnsiTheme="majorHAnsi" w:cstheme="majorHAnsi"/>
        </w:rPr>
        <w:t xml:space="preserve">, has stagnated </w:t>
      </w:r>
      <w:r w:rsidR="00A07810">
        <w:rPr>
          <w:rFonts w:asciiTheme="majorHAnsi" w:hAnsiTheme="majorHAnsi" w:cstheme="majorHAnsi"/>
        </w:rPr>
        <w:t>over the past</w:t>
      </w:r>
      <w:r w:rsidRPr="00EC52D2">
        <w:rPr>
          <w:rFonts w:asciiTheme="majorHAnsi" w:hAnsiTheme="majorHAnsi" w:cstheme="majorHAnsi"/>
        </w:rPr>
        <w:t xml:space="preserve"> two decades. The participation gap between men and women has </w:t>
      </w:r>
      <w:r w:rsidR="00A07810">
        <w:rPr>
          <w:rFonts w:asciiTheme="majorHAnsi" w:hAnsiTheme="majorHAnsi" w:cstheme="majorHAnsi"/>
        </w:rPr>
        <w:t>narrowed only marginally</w:t>
      </w:r>
      <w:r w:rsidRPr="00EC52D2">
        <w:rPr>
          <w:rFonts w:asciiTheme="majorHAnsi" w:hAnsiTheme="majorHAnsi" w:cstheme="majorHAnsi"/>
        </w:rPr>
        <w:t xml:space="preserve"> since 2004 (</w:t>
      </w:r>
      <w:r w:rsidR="00AD4E23">
        <w:rPr>
          <w:rFonts w:asciiTheme="majorHAnsi" w:hAnsiTheme="majorHAnsi" w:cstheme="majorHAnsi"/>
        </w:rPr>
        <w:fldChar w:fldCharType="begin"/>
      </w:r>
      <w:r w:rsidR="00AD4E23">
        <w:rPr>
          <w:rFonts w:asciiTheme="majorHAnsi" w:hAnsiTheme="majorHAnsi" w:cstheme="majorHAnsi"/>
        </w:rPr>
        <w:instrText xml:space="preserve"> REF _Ref177017050 \h  \* MERGEFORMAT </w:instrText>
      </w:r>
      <w:r w:rsidR="00AD4E23">
        <w:rPr>
          <w:rFonts w:asciiTheme="majorHAnsi" w:hAnsiTheme="majorHAnsi" w:cstheme="majorHAnsi"/>
        </w:rPr>
      </w:r>
      <w:r w:rsidR="00AD4E23">
        <w:rPr>
          <w:rFonts w:asciiTheme="majorHAnsi" w:hAnsiTheme="majorHAnsi" w:cstheme="majorHAnsi"/>
        </w:rPr>
        <w:fldChar w:fldCharType="separate"/>
      </w:r>
      <w:r w:rsidR="00B71781" w:rsidRPr="00B71781">
        <w:rPr>
          <w:rFonts w:asciiTheme="majorHAnsi" w:hAnsiTheme="majorHAnsi" w:cstheme="majorHAnsi"/>
        </w:rPr>
        <w:t>Figure 1</w:t>
      </w:r>
      <w:r w:rsidR="00AD4E23">
        <w:rPr>
          <w:rFonts w:asciiTheme="majorHAnsi" w:hAnsiTheme="majorHAnsi" w:cstheme="majorHAnsi"/>
        </w:rPr>
        <w:fldChar w:fldCharType="end"/>
      </w:r>
      <w:r w:rsidRPr="00EC52D2">
        <w:rPr>
          <w:rFonts w:asciiTheme="majorHAnsi" w:hAnsiTheme="majorHAnsi" w:cstheme="majorHAnsi"/>
        </w:rPr>
        <w:t xml:space="preserve">). </w:t>
      </w:r>
      <w:r w:rsidR="00103B52">
        <w:rPr>
          <w:rFonts w:asciiTheme="majorHAnsi" w:hAnsiTheme="majorHAnsi" w:cstheme="majorHAnsi"/>
        </w:rPr>
        <w:t>Employment figures further illustrate this disparity: j</w:t>
      </w:r>
      <w:r w:rsidRPr="00EC52D2">
        <w:rPr>
          <w:rFonts w:asciiTheme="majorHAnsi" w:hAnsiTheme="majorHAnsi" w:cstheme="majorHAnsi"/>
        </w:rPr>
        <w:t>ust over half of women (51</w:t>
      </w:r>
      <w:r w:rsidR="00D3031B">
        <w:rPr>
          <w:rFonts w:asciiTheme="majorHAnsi" w:hAnsiTheme="majorHAnsi" w:cstheme="majorHAnsi"/>
        </w:rPr>
        <w:t xml:space="preserve"> percent</w:t>
      </w:r>
      <w:r w:rsidRPr="00EC52D2">
        <w:rPr>
          <w:rFonts w:asciiTheme="majorHAnsi" w:hAnsiTheme="majorHAnsi" w:cstheme="majorHAnsi"/>
        </w:rPr>
        <w:t>) hold paid employment compared to 72</w:t>
      </w:r>
      <w:r w:rsidR="00D3031B">
        <w:rPr>
          <w:rFonts w:asciiTheme="majorHAnsi" w:hAnsiTheme="majorHAnsi" w:cstheme="majorHAnsi"/>
        </w:rPr>
        <w:t xml:space="preserve"> percent</w:t>
      </w:r>
      <w:r w:rsidRPr="00EC52D2">
        <w:rPr>
          <w:rFonts w:asciiTheme="majorHAnsi" w:hAnsiTheme="majorHAnsi" w:cstheme="majorHAnsi"/>
        </w:rPr>
        <w:t xml:space="preserve"> of men (INEI, 2023). </w:t>
      </w:r>
      <w:r w:rsidR="00103B52">
        <w:rPr>
          <w:rFonts w:asciiTheme="majorHAnsi" w:hAnsiTheme="majorHAnsi" w:cstheme="majorHAnsi"/>
        </w:rPr>
        <w:t>Moreover</w:t>
      </w:r>
      <w:r w:rsidRPr="00EC52D2">
        <w:rPr>
          <w:rFonts w:asciiTheme="majorHAnsi" w:hAnsiTheme="majorHAnsi" w:cstheme="majorHAnsi"/>
        </w:rPr>
        <w:t>, women are disproportionately concentrated in vulnerable employment, with 55.7</w:t>
      </w:r>
      <w:r w:rsidR="00D3031B">
        <w:rPr>
          <w:rFonts w:asciiTheme="majorHAnsi" w:hAnsiTheme="majorHAnsi" w:cstheme="majorHAnsi"/>
        </w:rPr>
        <w:t xml:space="preserve"> percent</w:t>
      </w:r>
      <w:r w:rsidRPr="00EC52D2">
        <w:rPr>
          <w:rFonts w:asciiTheme="majorHAnsi" w:hAnsiTheme="majorHAnsi" w:cstheme="majorHAnsi"/>
        </w:rPr>
        <w:t xml:space="preserve"> of employed women in such roles, compared to 42.5</w:t>
      </w:r>
      <w:r w:rsidR="00D3031B">
        <w:rPr>
          <w:rFonts w:asciiTheme="majorHAnsi" w:hAnsiTheme="majorHAnsi" w:cstheme="majorHAnsi"/>
        </w:rPr>
        <w:t xml:space="preserve"> percent</w:t>
      </w:r>
      <w:r w:rsidRPr="00EC52D2">
        <w:rPr>
          <w:rFonts w:asciiTheme="majorHAnsi" w:hAnsiTheme="majorHAnsi" w:cstheme="majorHAnsi"/>
        </w:rPr>
        <w:t xml:space="preserve"> of men</w:t>
      </w:r>
      <w:r w:rsidR="0035551A">
        <w:rPr>
          <w:rFonts w:asciiTheme="majorHAnsi" w:hAnsiTheme="majorHAnsi" w:cstheme="majorHAnsi"/>
        </w:rPr>
        <w:t xml:space="preserve"> (</w:t>
      </w:r>
      <w:r w:rsidR="0035551A">
        <w:rPr>
          <w:rFonts w:asciiTheme="majorHAnsi" w:hAnsiTheme="majorHAnsi" w:cstheme="majorHAnsi"/>
        </w:rPr>
        <w:fldChar w:fldCharType="begin"/>
      </w:r>
      <w:r w:rsidR="0035551A">
        <w:rPr>
          <w:rFonts w:asciiTheme="majorHAnsi" w:hAnsiTheme="majorHAnsi" w:cstheme="majorHAnsi"/>
        </w:rPr>
        <w:instrText xml:space="preserve"> REF _Ref177017134 \h  \* MERGEFORMAT </w:instrText>
      </w:r>
      <w:r w:rsidR="0035551A">
        <w:rPr>
          <w:rFonts w:asciiTheme="majorHAnsi" w:hAnsiTheme="majorHAnsi" w:cstheme="majorHAnsi"/>
        </w:rPr>
      </w:r>
      <w:r w:rsidR="0035551A">
        <w:rPr>
          <w:rFonts w:asciiTheme="majorHAnsi" w:hAnsiTheme="majorHAnsi" w:cstheme="majorHAnsi"/>
        </w:rPr>
        <w:fldChar w:fldCharType="separate"/>
      </w:r>
      <w:r w:rsidR="00B71781" w:rsidRPr="00B71781">
        <w:rPr>
          <w:rFonts w:asciiTheme="majorHAnsi" w:hAnsiTheme="majorHAnsi" w:cstheme="majorHAnsi"/>
        </w:rPr>
        <w:t>Figure 2</w:t>
      </w:r>
      <w:r w:rsidR="0035551A">
        <w:rPr>
          <w:rFonts w:asciiTheme="majorHAnsi" w:hAnsiTheme="majorHAnsi" w:cstheme="majorHAnsi"/>
        </w:rPr>
        <w:fldChar w:fldCharType="end"/>
      </w:r>
      <w:r w:rsidR="0035551A">
        <w:rPr>
          <w:rFonts w:asciiTheme="majorHAnsi" w:hAnsiTheme="majorHAnsi" w:cstheme="majorHAnsi"/>
        </w:rPr>
        <w:t>)</w:t>
      </w:r>
      <w:r w:rsidRPr="00EC52D2">
        <w:rPr>
          <w:rFonts w:asciiTheme="majorHAnsi" w:hAnsiTheme="majorHAnsi" w:cstheme="majorHAnsi"/>
        </w:rPr>
        <w:t xml:space="preserve">. </w:t>
      </w:r>
      <w:r w:rsidR="0035551A">
        <w:rPr>
          <w:rFonts w:asciiTheme="majorHAnsi" w:hAnsiTheme="majorHAnsi" w:cstheme="majorHAnsi"/>
        </w:rPr>
        <w:t xml:space="preserve">The gender wage gap is also substantial, with women earning </w:t>
      </w:r>
      <w:r w:rsidRPr="00EC52D2">
        <w:rPr>
          <w:rFonts w:asciiTheme="majorHAnsi" w:hAnsiTheme="majorHAnsi" w:cstheme="majorHAnsi"/>
        </w:rPr>
        <w:t>25</w:t>
      </w:r>
      <w:r w:rsidR="00D3031B">
        <w:rPr>
          <w:rFonts w:asciiTheme="majorHAnsi" w:hAnsiTheme="majorHAnsi" w:cstheme="majorHAnsi"/>
        </w:rPr>
        <w:t xml:space="preserve"> percent</w:t>
      </w:r>
      <w:r w:rsidRPr="00EC52D2">
        <w:rPr>
          <w:rFonts w:asciiTheme="majorHAnsi" w:hAnsiTheme="majorHAnsi" w:cstheme="majorHAnsi"/>
        </w:rPr>
        <w:t xml:space="preserve"> less than men in similar positions.</w:t>
      </w:r>
    </w:p>
    <w:p w14:paraId="49E08EEC" w14:textId="77777777" w:rsidR="00EC52D2" w:rsidRDefault="00EC52D2" w:rsidP="00290D56">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4675"/>
        <w:gridCol w:w="4675"/>
      </w:tblGrid>
      <w:tr w:rsidR="00796ADB" w:rsidRPr="00796ADB" w14:paraId="2BB8EEEF" w14:textId="77777777" w:rsidTr="00796ADB">
        <w:tc>
          <w:tcPr>
            <w:tcW w:w="4675" w:type="dxa"/>
          </w:tcPr>
          <w:p w14:paraId="6EECC16C" w14:textId="6F05EBC7" w:rsidR="00796ADB" w:rsidRPr="00AD4E23" w:rsidRDefault="00796ADB" w:rsidP="00AD4E23">
            <w:pPr>
              <w:jc w:val="center"/>
              <w:rPr>
                <w:rFonts w:asciiTheme="majorHAnsi" w:hAnsiTheme="majorHAnsi" w:cstheme="majorHAnsi"/>
                <w:sz w:val="20"/>
                <w:szCs w:val="20"/>
              </w:rPr>
            </w:pPr>
            <w:bookmarkStart w:id="0" w:name="_Ref177017050"/>
            <w:r w:rsidRPr="00AD4E23">
              <w:rPr>
                <w:rFonts w:asciiTheme="majorHAnsi" w:hAnsiTheme="majorHAnsi" w:cstheme="majorHAnsi"/>
                <w:sz w:val="20"/>
                <w:szCs w:val="20"/>
              </w:rPr>
              <w:t xml:space="preserve">Figure </w:t>
            </w:r>
            <w:r w:rsidRPr="00AD4E23">
              <w:rPr>
                <w:rFonts w:asciiTheme="majorHAnsi" w:hAnsiTheme="majorHAnsi" w:cstheme="majorHAnsi"/>
                <w:sz w:val="20"/>
                <w:szCs w:val="20"/>
              </w:rPr>
              <w:fldChar w:fldCharType="begin"/>
            </w:r>
            <w:r w:rsidRPr="00AD4E23">
              <w:rPr>
                <w:rFonts w:asciiTheme="majorHAnsi" w:hAnsiTheme="majorHAnsi" w:cstheme="majorHAnsi"/>
                <w:sz w:val="20"/>
                <w:szCs w:val="20"/>
              </w:rPr>
              <w:instrText xml:space="preserve"> SEQ Figure \* ARABIC </w:instrText>
            </w:r>
            <w:r w:rsidRPr="00AD4E23">
              <w:rPr>
                <w:rFonts w:asciiTheme="majorHAnsi" w:hAnsiTheme="majorHAnsi" w:cstheme="majorHAnsi"/>
                <w:sz w:val="20"/>
                <w:szCs w:val="20"/>
              </w:rPr>
              <w:fldChar w:fldCharType="separate"/>
            </w:r>
            <w:r w:rsidR="00B71781">
              <w:rPr>
                <w:rFonts w:asciiTheme="majorHAnsi" w:hAnsiTheme="majorHAnsi" w:cstheme="majorHAnsi"/>
                <w:noProof/>
                <w:sz w:val="20"/>
                <w:szCs w:val="20"/>
              </w:rPr>
              <w:t>1</w:t>
            </w:r>
            <w:r w:rsidRPr="00AD4E23">
              <w:rPr>
                <w:rFonts w:asciiTheme="majorHAnsi" w:hAnsiTheme="majorHAnsi" w:cstheme="majorHAnsi"/>
                <w:sz w:val="20"/>
                <w:szCs w:val="20"/>
              </w:rPr>
              <w:fldChar w:fldCharType="end"/>
            </w:r>
            <w:bookmarkEnd w:id="0"/>
            <w:r w:rsidRPr="00AD4E23">
              <w:rPr>
                <w:rFonts w:asciiTheme="majorHAnsi" w:hAnsiTheme="majorHAnsi" w:cstheme="majorHAnsi"/>
                <w:sz w:val="20"/>
                <w:szCs w:val="20"/>
              </w:rPr>
              <w:t>. Labor Force Participation, 2004 - 2023</w:t>
            </w:r>
          </w:p>
        </w:tc>
        <w:tc>
          <w:tcPr>
            <w:tcW w:w="4675" w:type="dxa"/>
          </w:tcPr>
          <w:p w14:paraId="0BC550C9" w14:textId="7D5F18CD" w:rsidR="00796ADB" w:rsidRPr="00AD4E23" w:rsidRDefault="00796ADB" w:rsidP="00AD4E23">
            <w:pPr>
              <w:jc w:val="center"/>
              <w:rPr>
                <w:rFonts w:asciiTheme="majorHAnsi" w:hAnsiTheme="majorHAnsi" w:cstheme="majorHAnsi"/>
                <w:sz w:val="20"/>
                <w:szCs w:val="20"/>
              </w:rPr>
            </w:pPr>
            <w:bookmarkStart w:id="1" w:name="_Ref177017134"/>
            <w:r w:rsidRPr="00AD4E23">
              <w:rPr>
                <w:rFonts w:asciiTheme="majorHAnsi" w:hAnsiTheme="majorHAnsi" w:cstheme="majorHAnsi"/>
                <w:sz w:val="20"/>
                <w:szCs w:val="20"/>
              </w:rPr>
              <w:t xml:space="preserve">Figure </w:t>
            </w:r>
            <w:r w:rsidRPr="00AD4E23">
              <w:rPr>
                <w:rFonts w:asciiTheme="majorHAnsi" w:hAnsiTheme="majorHAnsi" w:cstheme="majorHAnsi"/>
                <w:sz w:val="20"/>
                <w:szCs w:val="20"/>
              </w:rPr>
              <w:fldChar w:fldCharType="begin"/>
            </w:r>
            <w:r w:rsidRPr="00AD4E23">
              <w:rPr>
                <w:rFonts w:asciiTheme="majorHAnsi" w:hAnsiTheme="majorHAnsi" w:cstheme="majorHAnsi"/>
                <w:sz w:val="20"/>
                <w:szCs w:val="20"/>
              </w:rPr>
              <w:instrText xml:space="preserve"> SEQ Figure \* ARABIC </w:instrText>
            </w:r>
            <w:r w:rsidRPr="00AD4E23">
              <w:rPr>
                <w:rFonts w:asciiTheme="majorHAnsi" w:hAnsiTheme="majorHAnsi" w:cstheme="majorHAnsi"/>
                <w:sz w:val="20"/>
                <w:szCs w:val="20"/>
              </w:rPr>
              <w:fldChar w:fldCharType="separate"/>
            </w:r>
            <w:r w:rsidR="00B71781">
              <w:rPr>
                <w:rFonts w:asciiTheme="majorHAnsi" w:hAnsiTheme="majorHAnsi" w:cstheme="majorHAnsi"/>
                <w:noProof/>
                <w:sz w:val="20"/>
                <w:szCs w:val="20"/>
              </w:rPr>
              <w:t>2</w:t>
            </w:r>
            <w:r w:rsidRPr="00AD4E23">
              <w:rPr>
                <w:rFonts w:asciiTheme="majorHAnsi" w:hAnsiTheme="majorHAnsi" w:cstheme="majorHAnsi"/>
                <w:sz w:val="20"/>
                <w:szCs w:val="20"/>
              </w:rPr>
              <w:fldChar w:fldCharType="end"/>
            </w:r>
            <w:bookmarkEnd w:id="1"/>
            <w:r w:rsidRPr="00AD4E23">
              <w:rPr>
                <w:rFonts w:asciiTheme="majorHAnsi" w:hAnsiTheme="majorHAnsi" w:cstheme="majorHAnsi"/>
                <w:sz w:val="20"/>
                <w:szCs w:val="20"/>
              </w:rPr>
              <w:t>. Vulnerable employment, 2004 - 2022</w:t>
            </w:r>
          </w:p>
        </w:tc>
      </w:tr>
      <w:tr w:rsidR="00796ADB" w:rsidRPr="00796ADB" w14:paraId="67E5E1D0" w14:textId="77777777" w:rsidTr="00796ADB">
        <w:tc>
          <w:tcPr>
            <w:tcW w:w="4675" w:type="dxa"/>
          </w:tcPr>
          <w:p w14:paraId="70B31E56" w14:textId="7466DACC" w:rsidR="00796ADB" w:rsidRPr="00796ADB" w:rsidRDefault="00796ADB" w:rsidP="00796ADB">
            <w:pPr>
              <w:jc w:val="both"/>
              <w:rPr>
                <w:rFonts w:asciiTheme="majorHAnsi" w:hAnsiTheme="majorHAnsi" w:cstheme="majorHAnsi"/>
                <w:sz w:val="20"/>
                <w:szCs w:val="20"/>
              </w:rPr>
            </w:pPr>
            <w:r w:rsidRPr="00796ADB">
              <w:rPr>
                <w:rFonts w:asciiTheme="majorHAnsi" w:hAnsiTheme="majorHAnsi" w:cstheme="majorHAnsi"/>
                <w:noProof/>
                <w:sz w:val="20"/>
                <w:szCs w:val="20"/>
              </w:rPr>
              <w:drawing>
                <wp:inline distT="0" distB="0" distL="0" distR="0" wp14:anchorId="28E4C297" wp14:editId="07347897">
                  <wp:extent cx="2812212" cy="2070340"/>
                  <wp:effectExtent l="0" t="0" r="7620" b="6350"/>
                  <wp:docPr id="39" name="Chart 39">
                    <a:extLst xmlns:a="http://schemas.openxmlformats.org/drawingml/2006/main">
                      <a:ext uri="{FF2B5EF4-FFF2-40B4-BE49-F238E27FC236}">
                        <a16:creationId xmlns:a16="http://schemas.microsoft.com/office/drawing/2014/main" id="{B3E94741-9770-7908-93AB-8EFF2339D2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c>
          <w:tcPr>
            <w:tcW w:w="4675" w:type="dxa"/>
          </w:tcPr>
          <w:p w14:paraId="229FCF71" w14:textId="121F28FC" w:rsidR="00796ADB" w:rsidRPr="00796ADB" w:rsidRDefault="00796ADB" w:rsidP="00796ADB">
            <w:pPr>
              <w:jc w:val="both"/>
              <w:rPr>
                <w:rFonts w:asciiTheme="majorHAnsi" w:hAnsiTheme="majorHAnsi" w:cstheme="majorHAnsi"/>
                <w:sz w:val="20"/>
                <w:szCs w:val="20"/>
              </w:rPr>
            </w:pPr>
            <w:r w:rsidRPr="00796ADB">
              <w:rPr>
                <w:rFonts w:asciiTheme="majorHAnsi" w:hAnsiTheme="majorHAnsi" w:cstheme="majorHAnsi"/>
                <w:noProof/>
                <w:sz w:val="20"/>
                <w:szCs w:val="20"/>
              </w:rPr>
              <w:drawing>
                <wp:inline distT="0" distB="0" distL="0" distR="0" wp14:anchorId="5073F3EF" wp14:editId="46C773AB">
                  <wp:extent cx="2803585" cy="2027208"/>
                  <wp:effectExtent l="0" t="0" r="0" b="0"/>
                  <wp:docPr id="41" name="Chart 41">
                    <a:extLst xmlns:a="http://schemas.openxmlformats.org/drawingml/2006/main">
                      <a:ext uri="{FF2B5EF4-FFF2-40B4-BE49-F238E27FC236}">
                        <a16:creationId xmlns:a16="http://schemas.microsoft.com/office/drawing/2014/main" id="{1AF74F21-D264-F5C6-353F-3C0F58ACB4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796ADB" w:rsidRPr="00796ADB" w14:paraId="5BA44090" w14:textId="77777777" w:rsidTr="00796ADB">
        <w:tc>
          <w:tcPr>
            <w:tcW w:w="4675" w:type="dxa"/>
          </w:tcPr>
          <w:p w14:paraId="52711449" w14:textId="77777777" w:rsidR="00796ADB" w:rsidRPr="0035551A" w:rsidRDefault="00796ADB" w:rsidP="00796ADB">
            <w:pPr>
              <w:jc w:val="both"/>
              <w:rPr>
                <w:rFonts w:asciiTheme="majorHAnsi" w:hAnsiTheme="majorHAnsi" w:cstheme="majorHAnsi"/>
                <w:sz w:val="18"/>
                <w:szCs w:val="18"/>
              </w:rPr>
            </w:pPr>
            <w:r w:rsidRPr="0035551A">
              <w:rPr>
                <w:rFonts w:asciiTheme="majorHAnsi" w:hAnsiTheme="majorHAnsi" w:cstheme="majorHAnsi"/>
                <w:sz w:val="18"/>
                <w:szCs w:val="18"/>
              </w:rPr>
              <w:t>Source: Gender Data Portal</w:t>
            </w:r>
          </w:p>
          <w:p w14:paraId="7914D881" w14:textId="57240C2F" w:rsidR="00796ADB" w:rsidRPr="0035551A" w:rsidRDefault="00796ADB" w:rsidP="00796ADB">
            <w:pPr>
              <w:jc w:val="both"/>
              <w:rPr>
                <w:rFonts w:asciiTheme="majorHAnsi" w:hAnsiTheme="majorHAnsi" w:cstheme="majorHAnsi"/>
                <w:sz w:val="18"/>
                <w:szCs w:val="18"/>
              </w:rPr>
            </w:pPr>
            <w:r w:rsidRPr="0035551A">
              <w:rPr>
                <w:rFonts w:asciiTheme="majorHAnsi" w:hAnsiTheme="majorHAnsi" w:cstheme="majorHAnsi"/>
                <w:sz w:val="18"/>
                <w:szCs w:val="18"/>
              </w:rPr>
              <w:lastRenderedPageBreak/>
              <w:t>Note: National estimates, 15+</w:t>
            </w:r>
          </w:p>
        </w:tc>
        <w:tc>
          <w:tcPr>
            <w:tcW w:w="4675" w:type="dxa"/>
          </w:tcPr>
          <w:p w14:paraId="1EA0CC10" w14:textId="77777777" w:rsidR="00796ADB" w:rsidRPr="0035551A" w:rsidRDefault="00796ADB" w:rsidP="00796ADB">
            <w:pPr>
              <w:jc w:val="both"/>
              <w:rPr>
                <w:rFonts w:asciiTheme="majorHAnsi" w:hAnsiTheme="majorHAnsi" w:cstheme="majorHAnsi"/>
                <w:sz w:val="18"/>
                <w:szCs w:val="18"/>
              </w:rPr>
            </w:pPr>
            <w:r w:rsidRPr="0035551A">
              <w:rPr>
                <w:rFonts w:asciiTheme="majorHAnsi" w:hAnsiTheme="majorHAnsi" w:cstheme="majorHAnsi"/>
                <w:sz w:val="18"/>
                <w:szCs w:val="18"/>
              </w:rPr>
              <w:lastRenderedPageBreak/>
              <w:t>Source: Gender Data Portal</w:t>
            </w:r>
          </w:p>
          <w:p w14:paraId="2FC2B4F1" w14:textId="457B6F89" w:rsidR="00796ADB" w:rsidRPr="0035551A" w:rsidRDefault="00796ADB" w:rsidP="00796ADB">
            <w:pPr>
              <w:keepNext/>
              <w:jc w:val="both"/>
              <w:rPr>
                <w:rFonts w:asciiTheme="majorHAnsi" w:hAnsiTheme="majorHAnsi" w:cstheme="majorHAnsi"/>
                <w:sz w:val="18"/>
                <w:szCs w:val="18"/>
              </w:rPr>
            </w:pPr>
            <w:r w:rsidRPr="0035551A">
              <w:rPr>
                <w:rFonts w:asciiTheme="majorHAnsi" w:hAnsiTheme="majorHAnsi" w:cstheme="majorHAnsi"/>
                <w:sz w:val="18"/>
                <w:szCs w:val="18"/>
              </w:rPr>
              <w:lastRenderedPageBreak/>
              <w:t>Note: Modeled ILO estimate</w:t>
            </w:r>
          </w:p>
        </w:tc>
      </w:tr>
    </w:tbl>
    <w:p w14:paraId="560FD922" w14:textId="77777777" w:rsidR="00796ADB" w:rsidRDefault="00796ADB" w:rsidP="008C6FBB">
      <w:pPr>
        <w:spacing w:after="0"/>
        <w:jc w:val="both"/>
        <w:rPr>
          <w:rFonts w:asciiTheme="majorHAnsi" w:hAnsiTheme="majorHAnsi" w:cstheme="majorHAnsi"/>
        </w:rPr>
      </w:pPr>
    </w:p>
    <w:p w14:paraId="3FCC78DA" w14:textId="6869ED9C" w:rsidR="00450CDA" w:rsidRDefault="00794734" w:rsidP="00290D56">
      <w:pPr>
        <w:spacing w:after="0"/>
        <w:jc w:val="both"/>
        <w:rPr>
          <w:rFonts w:asciiTheme="majorHAnsi" w:hAnsiTheme="majorHAnsi" w:cstheme="majorHAnsi"/>
        </w:rPr>
      </w:pPr>
      <w:r w:rsidRPr="00794734">
        <w:rPr>
          <w:rFonts w:asciiTheme="majorHAnsi" w:hAnsiTheme="majorHAnsi" w:cstheme="majorHAnsi"/>
        </w:rPr>
        <w:t xml:space="preserve">Occupational segregation </w:t>
      </w:r>
      <w:r w:rsidR="0035551A">
        <w:rPr>
          <w:rFonts w:asciiTheme="majorHAnsi" w:hAnsiTheme="majorHAnsi" w:cstheme="majorHAnsi"/>
        </w:rPr>
        <w:t>presents</w:t>
      </w:r>
      <w:r w:rsidRPr="00794734">
        <w:rPr>
          <w:rFonts w:asciiTheme="majorHAnsi" w:hAnsiTheme="majorHAnsi" w:cstheme="majorHAnsi"/>
        </w:rPr>
        <w:t xml:space="preserve"> another barrier to gender equality</w:t>
      </w:r>
      <w:r w:rsidR="0035551A">
        <w:rPr>
          <w:rFonts w:asciiTheme="majorHAnsi" w:hAnsiTheme="majorHAnsi" w:cstheme="majorHAnsi"/>
        </w:rPr>
        <w:t xml:space="preserve"> in Peru</w:t>
      </w:r>
      <w:r w:rsidRPr="00794734">
        <w:rPr>
          <w:rFonts w:asciiTheme="majorHAnsi" w:hAnsiTheme="majorHAnsi" w:cstheme="majorHAnsi"/>
        </w:rPr>
        <w:t>. Women are often con</w:t>
      </w:r>
      <w:r w:rsidR="0035551A">
        <w:rPr>
          <w:rFonts w:asciiTheme="majorHAnsi" w:hAnsiTheme="majorHAnsi" w:cstheme="majorHAnsi"/>
        </w:rPr>
        <w:t xml:space="preserve">centrated in </w:t>
      </w:r>
      <w:r w:rsidRPr="00794734">
        <w:rPr>
          <w:rFonts w:asciiTheme="majorHAnsi" w:hAnsiTheme="majorHAnsi" w:cstheme="majorHAnsi"/>
        </w:rPr>
        <w:t xml:space="preserve">lower-paying sectors such as social services, healthcare, and hospitality, while men </w:t>
      </w:r>
      <w:r w:rsidR="00C8071B">
        <w:rPr>
          <w:rFonts w:asciiTheme="majorHAnsi" w:hAnsiTheme="majorHAnsi" w:cstheme="majorHAnsi"/>
        </w:rPr>
        <w:t>predominantly work in</w:t>
      </w:r>
      <w:r w:rsidRPr="00794734">
        <w:rPr>
          <w:rFonts w:asciiTheme="majorHAnsi" w:hAnsiTheme="majorHAnsi" w:cstheme="majorHAnsi"/>
        </w:rPr>
        <w:t xml:space="preserve"> higher-paying fields like construction, commerce, transport, and manufacturing. </w:t>
      </w:r>
      <w:r w:rsidR="0035551A">
        <w:rPr>
          <w:rFonts w:asciiTheme="majorHAnsi" w:hAnsiTheme="majorHAnsi" w:cstheme="majorHAnsi"/>
        </w:rPr>
        <w:t>This pattern has intensified o</w:t>
      </w:r>
      <w:r w:rsidR="00E66DD0" w:rsidRPr="00E66DD0">
        <w:rPr>
          <w:rFonts w:asciiTheme="majorHAnsi" w:hAnsiTheme="majorHAnsi" w:cstheme="majorHAnsi"/>
        </w:rPr>
        <w:t xml:space="preserve">ver the past two decades, </w:t>
      </w:r>
      <w:r w:rsidR="0035551A">
        <w:rPr>
          <w:rFonts w:asciiTheme="majorHAnsi" w:hAnsiTheme="majorHAnsi" w:cstheme="majorHAnsi"/>
        </w:rPr>
        <w:t>a</w:t>
      </w:r>
      <w:r w:rsidR="00E66DD0" w:rsidRPr="00E66DD0">
        <w:rPr>
          <w:rFonts w:asciiTheme="majorHAnsi" w:hAnsiTheme="majorHAnsi" w:cstheme="majorHAnsi"/>
        </w:rPr>
        <w:t xml:space="preserve">s both men and women have increasingly </w:t>
      </w:r>
      <w:r w:rsidR="001625BC">
        <w:rPr>
          <w:rFonts w:asciiTheme="majorHAnsi" w:hAnsiTheme="majorHAnsi" w:cstheme="majorHAnsi"/>
        </w:rPr>
        <w:t xml:space="preserve">shifted away from </w:t>
      </w:r>
      <w:r w:rsidR="00E66DD0" w:rsidRPr="00E66DD0">
        <w:rPr>
          <w:rFonts w:asciiTheme="majorHAnsi" w:hAnsiTheme="majorHAnsi" w:cstheme="majorHAnsi"/>
        </w:rPr>
        <w:t xml:space="preserve">agriculture and into the service sector, with women </w:t>
      </w:r>
      <w:r w:rsidR="001625BC">
        <w:rPr>
          <w:rFonts w:asciiTheme="majorHAnsi" w:hAnsiTheme="majorHAnsi" w:cstheme="majorHAnsi"/>
        </w:rPr>
        <w:t>making this transition more p</w:t>
      </w:r>
      <w:r w:rsidR="00E66DD0" w:rsidRPr="00E66DD0">
        <w:rPr>
          <w:rFonts w:asciiTheme="majorHAnsi" w:hAnsiTheme="majorHAnsi" w:cstheme="majorHAnsi"/>
        </w:rPr>
        <w:t>rominently (</w:t>
      </w:r>
      <w:r w:rsidR="00022151">
        <w:rPr>
          <w:rFonts w:asciiTheme="majorHAnsi" w:hAnsiTheme="majorHAnsi" w:cstheme="majorHAnsi"/>
        </w:rPr>
        <w:fldChar w:fldCharType="begin"/>
      </w:r>
      <w:r w:rsidR="00022151">
        <w:rPr>
          <w:rFonts w:asciiTheme="majorHAnsi" w:hAnsiTheme="majorHAnsi" w:cstheme="majorHAnsi"/>
        </w:rPr>
        <w:instrText xml:space="preserve"> REF _Ref177017361 \h  \* MERGEFORMAT </w:instrText>
      </w:r>
      <w:r w:rsidR="00022151">
        <w:rPr>
          <w:rFonts w:asciiTheme="majorHAnsi" w:hAnsiTheme="majorHAnsi" w:cstheme="majorHAnsi"/>
        </w:rPr>
      </w:r>
      <w:r w:rsidR="00022151">
        <w:rPr>
          <w:rFonts w:asciiTheme="majorHAnsi" w:hAnsiTheme="majorHAnsi" w:cstheme="majorHAnsi"/>
        </w:rPr>
        <w:fldChar w:fldCharType="separate"/>
      </w:r>
      <w:r w:rsidR="00B71781" w:rsidRPr="00B71781">
        <w:rPr>
          <w:rFonts w:asciiTheme="majorHAnsi" w:hAnsiTheme="majorHAnsi" w:cstheme="majorHAnsi"/>
        </w:rPr>
        <w:t>Figure 3</w:t>
      </w:r>
      <w:r w:rsidR="00022151">
        <w:rPr>
          <w:rFonts w:asciiTheme="majorHAnsi" w:hAnsiTheme="majorHAnsi" w:cstheme="majorHAnsi"/>
        </w:rPr>
        <w:fldChar w:fldCharType="end"/>
      </w:r>
      <w:r w:rsidR="00E66DD0" w:rsidRPr="00E66DD0">
        <w:rPr>
          <w:rFonts w:asciiTheme="majorHAnsi" w:hAnsiTheme="majorHAnsi" w:cstheme="majorHAnsi"/>
        </w:rPr>
        <w:t xml:space="preserve">). The service sector now employs the largest share of both women and men, although women are overrepresented. Despite this shift, </w:t>
      </w:r>
      <w:r w:rsidR="00062113">
        <w:rPr>
          <w:rFonts w:asciiTheme="majorHAnsi" w:hAnsiTheme="majorHAnsi" w:cstheme="majorHAnsi"/>
        </w:rPr>
        <w:t>a</w:t>
      </w:r>
      <w:r w:rsidR="00E66DD0" w:rsidRPr="00E66DD0">
        <w:rPr>
          <w:rFonts w:asciiTheme="majorHAnsi" w:hAnsiTheme="majorHAnsi" w:cstheme="majorHAnsi"/>
        </w:rPr>
        <w:t>pproximately 25</w:t>
      </w:r>
      <w:r w:rsidR="00062113">
        <w:rPr>
          <w:rFonts w:asciiTheme="majorHAnsi" w:hAnsiTheme="majorHAnsi" w:cstheme="majorHAnsi"/>
        </w:rPr>
        <w:t xml:space="preserve"> percent of both women and men</w:t>
      </w:r>
      <w:r w:rsidR="00E66DD0" w:rsidRPr="00E66DD0">
        <w:rPr>
          <w:rFonts w:asciiTheme="majorHAnsi" w:hAnsiTheme="majorHAnsi" w:cstheme="majorHAnsi"/>
        </w:rPr>
        <w:t xml:space="preserve"> remain employed in agriculture. </w:t>
      </w:r>
      <w:r w:rsidR="00E66DD0">
        <w:rPr>
          <w:rFonts w:asciiTheme="majorHAnsi" w:hAnsiTheme="majorHAnsi" w:cstheme="majorHAnsi"/>
        </w:rPr>
        <w:t xml:space="preserve">The types of roles </w:t>
      </w:r>
      <w:r w:rsidR="00062113">
        <w:rPr>
          <w:rFonts w:asciiTheme="majorHAnsi" w:hAnsiTheme="majorHAnsi" w:cstheme="majorHAnsi"/>
        </w:rPr>
        <w:t xml:space="preserve">occupied by </w:t>
      </w:r>
      <w:r w:rsidR="002F63D8">
        <w:rPr>
          <w:rFonts w:asciiTheme="majorHAnsi" w:hAnsiTheme="majorHAnsi" w:cstheme="majorHAnsi"/>
        </w:rPr>
        <w:t xml:space="preserve">women and men differ significantly: </w:t>
      </w:r>
      <w:r w:rsidRPr="00794734">
        <w:rPr>
          <w:rFonts w:asciiTheme="majorHAnsi" w:hAnsiTheme="majorHAnsi" w:cstheme="majorHAnsi"/>
        </w:rPr>
        <w:t>women</w:t>
      </w:r>
      <w:r w:rsidR="002F63D8">
        <w:rPr>
          <w:rFonts w:asciiTheme="majorHAnsi" w:hAnsiTheme="majorHAnsi" w:cstheme="majorHAnsi"/>
        </w:rPr>
        <w:t xml:space="preserve"> are more likely to work as </w:t>
      </w:r>
      <w:r w:rsidRPr="00794734">
        <w:rPr>
          <w:rFonts w:asciiTheme="majorHAnsi" w:hAnsiTheme="majorHAnsi" w:cstheme="majorHAnsi"/>
        </w:rPr>
        <w:t xml:space="preserve">caregivers, cashiers, receptionists, nurses, administrators, and teachers, whereas men tend to work in construction, mining, and machine operation (World Bank, 2023). </w:t>
      </w:r>
      <w:r w:rsidR="00062113">
        <w:rPr>
          <w:rFonts w:asciiTheme="majorHAnsi" w:hAnsiTheme="majorHAnsi" w:cstheme="majorHAnsi"/>
        </w:rPr>
        <w:t>While some</w:t>
      </w:r>
      <w:r w:rsidRPr="00794734">
        <w:rPr>
          <w:rFonts w:asciiTheme="majorHAnsi" w:hAnsiTheme="majorHAnsi" w:cstheme="majorHAnsi"/>
        </w:rPr>
        <w:t xml:space="preserve"> progress </w:t>
      </w:r>
      <w:r w:rsidR="00062113">
        <w:rPr>
          <w:rFonts w:asciiTheme="majorHAnsi" w:hAnsiTheme="majorHAnsi" w:cstheme="majorHAnsi"/>
        </w:rPr>
        <w:t xml:space="preserve">has been made </w:t>
      </w:r>
      <w:r w:rsidRPr="00794734">
        <w:rPr>
          <w:rFonts w:asciiTheme="majorHAnsi" w:hAnsiTheme="majorHAnsi" w:cstheme="majorHAnsi"/>
        </w:rPr>
        <w:t>in leadership representation—</w:t>
      </w:r>
      <w:r w:rsidR="002D70E5">
        <w:rPr>
          <w:rFonts w:asciiTheme="majorHAnsi" w:hAnsiTheme="majorHAnsi" w:cstheme="majorHAnsi"/>
        </w:rPr>
        <w:t xml:space="preserve"> with women holding </w:t>
      </w:r>
      <w:r w:rsidRPr="00794734">
        <w:rPr>
          <w:rFonts w:asciiTheme="majorHAnsi" w:hAnsiTheme="majorHAnsi" w:cstheme="majorHAnsi"/>
        </w:rPr>
        <w:t>30</w:t>
      </w:r>
      <w:r w:rsidR="002D70E5">
        <w:rPr>
          <w:rFonts w:asciiTheme="majorHAnsi" w:hAnsiTheme="majorHAnsi" w:cstheme="majorHAnsi"/>
        </w:rPr>
        <w:t xml:space="preserve"> percent</w:t>
      </w:r>
      <w:r w:rsidRPr="00794734">
        <w:rPr>
          <w:rFonts w:asciiTheme="majorHAnsi" w:hAnsiTheme="majorHAnsi" w:cstheme="majorHAnsi"/>
        </w:rPr>
        <w:t xml:space="preserve"> of managerial positions and 12</w:t>
      </w:r>
      <w:r w:rsidR="002D70E5">
        <w:rPr>
          <w:rFonts w:asciiTheme="majorHAnsi" w:hAnsiTheme="majorHAnsi" w:cstheme="majorHAnsi"/>
        </w:rPr>
        <w:t xml:space="preserve"> percent</w:t>
      </w:r>
      <w:r w:rsidRPr="00794734">
        <w:rPr>
          <w:rFonts w:asciiTheme="majorHAnsi" w:hAnsiTheme="majorHAnsi" w:cstheme="majorHAnsi"/>
        </w:rPr>
        <w:t xml:space="preserve"> of board seats in companies listed on the Lima Stock Exchange—gender inequality in the corporate sector remains significant</w:t>
      </w:r>
      <w:r>
        <w:rPr>
          <w:rFonts w:asciiTheme="majorHAnsi" w:hAnsiTheme="majorHAnsi" w:cstheme="majorHAnsi"/>
        </w:rPr>
        <w:t xml:space="preserve"> </w:t>
      </w:r>
      <w:r w:rsidRPr="00295C50">
        <w:rPr>
          <w:rFonts w:asciiTheme="majorHAnsi" w:hAnsiTheme="majorHAnsi" w:cstheme="majorHAnsi"/>
        </w:rPr>
        <w:t>(INEI, 2023)</w:t>
      </w:r>
      <w:r w:rsidRPr="00794734">
        <w:rPr>
          <w:rFonts w:asciiTheme="majorHAnsi" w:hAnsiTheme="majorHAnsi" w:cstheme="majorHAnsi"/>
        </w:rPr>
        <w:t>.</w:t>
      </w:r>
      <w:r w:rsidRPr="00794734" w:rsidDel="00794734">
        <w:rPr>
          <w:rFonts w:asciiTheme="majorHAnsi" w:hAnsiTheme="majorHAnsi" w:cstheme="majorHAnsi"/>
        </w:rPr>
        <w:t xml:space="preserve"> </w:t>
      </w:r>
    </w:p>
    <w:p w14:paraId="5771542C" w14:textId="77777777" w:rsidR="001625BC" w:rsidRDefault="001625BC" w:rsidP="00450CDA">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8034"/>
      </w:tblGrid>
      <w:tr w:rsidR="001625BC" w14:paraId="718279B3" w14:textId="77777777" w:rsidTr="007D6783">
        <w:trPr>
          <w:trHeight w:val="260"/>
        </w:trPr>
        <w:tc>
          <w:tcPr>
            <w:tcW w:w="8034" w:type="dxa"/>
          </w:tcPr>
          <w:p w14:paraId="7FBC2FCB" w14:textId="07FD959C" w:rsidR="001625BC" w:rsidRPr="001625BC" w:rsidRDefault="001625BC" w:rsidP="001625BC">
            <w:pPr>
              <w:rPr>
                <w:rFonts w:asciiTheme="majorHAnsi" w:hAnsiTheme="majorHAnsi" w:cstheme="majorHAnsi"/>
                <w:i/>
                <w:iCs/>
              </w:rPr>
            </w:pPr>
            <w:bookmarkStart w:id="2" w:name="_Ref177017361"/>
            <w:r w:rsidRPr="001625BC">
              <w:rPr>
                <w:rFonts w:asciiTheme="majorHAnsi" w:hAnsiTheme="majorHAnsi" w:cstheme="majorHAnsi"/>
                <w:sz w:val="20"/>
                <w:szCs w:val="20"/>
              </w:rPr>
              <w:t xml:space="preserve">Figure </w:t>
            </w:r>
            <w:r w:rsidRPr="001625BC">
              <w:rPr>
                <w:rFonts w:asciiTheme="majorHAnsi" w:hAnsiTheme="majorHAnsi" w:cstheme="majorHAnsi"/>
                <w:sz w:val="20"/>
                <w:szCs w:val="20"/>
              </w:rPr>
              <w:fldChar w:fldCharType="begin"/>
            </w:r>
            <w:r w:rsidRPr="001625BC">
              <w:rPr>
                <w:rFonts w:asciiTheme="majorHAnsi" w:hAnsiTheme="majorHAnsi" w:cstheme="majorHAnsi"/>
                <w:sz w:val="20"/>
                <w:szCs w:val="20"/>
              </w:rPr>
              <w:instrText xml:space="preserve"> SEQ Figure \* ARABIC </w:instrText>
            </w:r>
            <w:r w:rsidRPr="001625BC">
              <w:rPr>
                <w:rFonts w:asciiTheme="majorHAnsi" w:hAnsiTheme="majorHAnsi" w:cstheme="majorHAnsi"/>
                <w:sz w:val="20"/>
                <w:szCs w:val="20"/>
              </w:rPr>
              <w:fldChar w:fldCharType="separate"/>
            </w:r>
            <w:r w:rsidR="00B71781">
              <w:rPr>
                <w:rFonts w:asciiTheme="majorHAnsi" w:hAnsiTheme="majorHAnsi" w:cstheme="majorHAnsi"/>
                <w:noProof/>
                <w:sz w:val="20"/>
                <w:szCs w:val="20"/>
              </w:rPr>
              <w:t>3</w:t>
            </w:r>
            <w:r w:rsidRPr="001625BC">
              <w:rPr>
                <w:rFonts w:asciiTheme="majorHAnsi" w:hAnsiTheme="majorHAnsi" w:cstheme="majorHAnsi"/>
                <w:sz w:val="20"/>
                <w:szCs w:val="20"/>
              </w:rPr>
              <w:fldChar w:fldCharType="end"/>
            </w:r>
            <w:bookmarkEnd w:id="2"/>
            <w:r w:rsidRPr="001625BC">
              <w:rPr>
                <w:rFonts w:asciiTheme="majorHAnsi" w:hAnsiTheme="majorHAnsi" w:cstheme="majorHAnsi"/>
                <w:sz w:val="20"/>
                <w:szCs w:val="20"/>
              </w:rPr>
              <w:t>. Employment by sector and sex, 1999 – 2022</w:t>
            </w:r>
          </w:p>
        </w:tc>
      </w:tr>
      <w:tr w:rsidR="001625BC" w14:paraId="1C128C45" w14:textId="77777777" w:rsidTr="007D6783">
        <w:trPr>
          <w:trHeight w:val="3704"/>
        </w:trPr>
        <w:tc>
          <w:tcPr>
            <w:tcW w:w="8034" w:type="dxa"/>
          </w:tcPr>
          <w:p w14:paraId="3583CB14" w14:textId="4A80758C" w:rsidR="001625BC" w:rsidRDefault="001625BC" w:rsidP="001625BC">
            <w:pPr>
              <w:jc w:val="center"/>
              <w:rPr>
                <w:rFonts w:asciiTheme="majorHAnsi" w:hAnsiTheme="majorHAnsi" w:cstheme="majorHAnsi"/>
              </w:rPr>
            </w:pPr>
            <w:r>
              <w:rPr>
                <w:noProof/>
              </w:rPr>
              <w:drawing>
                <wp:inline distT="0" distB="0" distL="0" distR="0" wp14:anchorId="3D2A5387" wp14:editId="1BD32974">
                  <wp:extent cx="4813540" cy="2466975"/>
                  <wp:effectExtent l="0" t="0" r="6350" b="0"/>
                  <wp:docPr id="414430342" name="Chart 1">
                    <a:extLst xmlns:a="http://schemas.openxmlformats.org/drawingml/2006/main">
                      <a:ext uri="{FF2B5EF4-FFF2-40B4-BE49-F238E27FC236}">
                        <a16:creationId xmlns:a16="http://schemas.microsoft.com/office/drawing/2014/main" id="{D684DBC5-6591-87B9-137C-9FA84AB0F8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1625BC" w14:paraId="0E698E5A" w14:textId="77777777" w:rsidTr="007D6783">
        <w:trPr>
          <w:trHeight w:val="207"/>
        </w:trPr>
        <w:tc>
          <w:tcPr>
            <w:tcW w:w="8034" w:type="dxa"/>
          </w:tcPr>
          <w:p w14:paraId="0E9BE9EB" w14:textId="3CCE843E" w:rsidR="001625BC" w:rsidRPr="001625BC" w:rsidRDefault="001625BC" w:rsidP="001625BC">
            <w:pPr>
              <w:rPr>
                <w:rFonts w:asciiTheme="majorHAnsi" w:hAnsiTheme="majorHAnsi" w:cstheme="majorHAnsi"/>
                <w:sz w:val="18"/>
                <w:szCs w:val="18"/>
              </w:rPr>
            </w:pPr>
            <w:r w:rsidRPr="007D6783">
              <w:rPr>
                <w:rFonts w:asciiTheme="majorHAnsi" w:hAnsiTheme="majorHAnsi" w:cstheme="majorHAnsi"/>
                <w:sz w:val="20"/>
                <w:szCs w:val="20"/>
              </w:rPr>
              <w:t>Source: World Development Indicators</w:t>
            </w:r>
          </w:p>
        </w:tc>
      </w:tr>
    </w:tbl>
    <w:p w14:paraId="1DE3F1E3" w14:textId="77777777" w:rsidR="007F6796" w:rsidRDefault="007F6796" w:rsidP="008C6FBB">
      <w:pPr>
        <w:spacing w:after="0"/>
        <w:jc w:val="both"/>
        <w:rPr>
          <w:rFonts w:asciiTheme="majorHAnsi" w:hAnsiTheme="majorHAnsi" w:cstheme="majorHAnsi"/>
        </w:rPr>
      </w:pPr>
    </w:p>
    <w:p w14:paraId="123D109B" w14:textId="77777777" w:rsidR="00226854" w:rsidRDefault="00932776" w:rsidP="00295C50">
      <w:pPr>
        <w:spacing w:after="0"/>
        <w:jc w:val="both"/>
        <w:rPr>
          <w:rFonts w:asciiTheme="majorHAnsi" w:hAnsiTheme="majorHAnsi" w:cstheme="majorHAnsi"/>
        </w:rPr>
      </w:pPr>
      <w:r>
        <w:rPr>
          <w:rFonts w:asciiTheme="majorHAnsi" w:hAnsiTheme="majorHAnsi" w:cstheme="majorHAnsi"/>
        </w:rPr>
        <w:t xml:space="preserve">The unequal distribution of household work </w:t>
      </w:r>
      <w:r w:rsidR="002D70E5">
        <w:rPr>
          <w:rFonts w:asciiTheme="majorHAnsi" w:hAnsiTheme="majorHAnsi" w:cstheme="majorHAnsi"/>
        </w:rPr>
        <w:t xml:space="preserve">further </w:t>
      </w:r>
      <w:r w:rsidR="001D4D89">
        <w:rPr>
          <w:rFonts w:asciiTheme="majorHAnsi" w:hAnsiTheme="majorHAnsi" w:cstheme="majorHAnsi"/>
        </w:rPr>
        <w:t>hinders</w:t>
      </w:r>
      <w:r w:rsidR="00557F9D">
        <w:rPr>
          <w:rFonts w:asciiTheme="majorHAnsi" w:hAnsiTheme="majorHAnsi" w:cstheme="majorHAnsi"/>
        </w:rPr>
        <w:t xml:space="preserve"> women’s access to economic opportunities.</w:t>
      </w:r>
      <w:r w:rsidR="00295C50" w:rsidRPr="00295C50">
        <w:rPr>
          <w:rFonts w:asciiTheme="majorHAnsi" w:hAnsiTheme="majorHAnsi" w:cstheme="majorHAnsi"/>
        </w:rPr>
        <w:t xml:space="preserve"> Wome</w:t>
      </w:r>
      <w:r w:rsidR="00450CDA">
        <w:rPr>
          <w:rFonts w:asciiTheme="majorHAnsi" w:hAnsiTheme="majorHAnsi" w:cstheme="majorHAnsi"/>
        </w:rPr>
        <w:t>n</w:t>
      </w:r>
      <w:r w:rsidR="00295C50" w:rsidRPr="00295C50">
        <w:rPr>
          <w:rFonts w:asciiTheme="majorHAnsi" w:hAnsiTheme="majorHAnsi" w:cstheme="majorHAnsi"/>
        </w:rPr>
        <w:t xml:space="preserve"> in Peru face a greater workload, spending 76 hours per week on combined paid work and household labor, compared to 67 hours for men (INEI, 2023). This disparity stems from women's responsibility for household tasks, where they spend 23 more hours per week than men. This </w:t>
      </w:r>
      <w:r w:rsidR="00226854">
        <w:rPr>
          <w:rFonts w:asciiTheme="majorHAnsi" w:hAnsiTheme="majorHAnsi" w:cstheme="majorHAnsi"/>
        </w:rPr>
        <w:t xml:space="preserve">uneven </w:t>
      </w:r>
      <w:r w:rsidR="00295C50" w:rsidRPr="00295C50">
        <w:rPr>
          <w:rFonts w:asciiTheme="majorHAnsi" w:hAnsiTheme="majorHAnsi" w:cstheme="majorHAnsi"/>
        </w:rPr>
        <w:t>distribution of domestic labor impacts women</w:t>
      </w:r>
      <w:r w:rsidR="00226854">
        <w:rPr>
          <w:rFonts w:asciiTheme="majorHAnsi" w:hAnsiTheme="majorHAnsi" w:cstheme="majorHAnsi"/>
        </w:rPr>
        <w:t>’</w:t>
      </w:r>
      <w:r w:rsidR="00295C50" w:rsidRPr="00295C50">
        <w:rPr>
          <w:rFonts w:asciiTheme="majorHAnsi" w:hAnsiTheme="majorHAnsi" w:cstheme="majorHAnsi"/>
        </w:rPr>
        <w:t>s access to economic opportunities and labor market participation.</w:t>
      </w:r>
      <w:r w:rsidR="00450CDA">
        <w:rPr>
          <w:rFonts w:asciiTheme="majorHAnsi" w:hAnsiTheme="majorHAnsi" w:cstheme="majorHAnsi"/>
        </w:rPr>
        <w:t xml:space="preserve"> </w:t>
      </w:r>
    </w:p>
    <w:p w14:paraId="0E079853" w14:textId="77777777" w:rsidR="00226854" w:rsidRDefault="00226854" w:rsidP="00295C50">
      <w:pPr>
        <w:spacing w:after="0"/>
        <w:jc w:val="both"/>
        <w:rPr>
          <w:rFonts w:asciiTheme="majorHAnsi" w:hAnsiTheme="majorHAnsi" w:cstheme="majorHAnsi"/>
        </w:rPr>
      </w:pPr>
    </w:p>
    <w:p w14:paraId="0197E1EF" w14:textId="6EFB986C" w:rsidR="00295C50" w:rsidRDefault="00226854" w:rsidP="00295C50">
      <w:pPr>
        <w:spacing w:after="0"/>
        <w:jc w:val="both"/>
        <w:rPr>
          <w:rFonts w:asciiTheme="majorHAnsi" w:hAnsiTheme="majorHAnsi" w:cstheme="majorHAnsi"/>
        </w:rPr>
      </w:pPr>
      <w:r>
        <w:rPr>
          <w:rFonts w:asciiTheme="majorHAnsi" w:hAnsiTheme="majorHAnsi" w:cstheme="majorHAnsi"/>
        </w:rPr>
        <w:t>P</w:t>
      </w:r>
      <w:r w:rsidR="00295C50" w:rsidRPr="00295C50">
        <w:rPr>
          <w:rFonts w:asciiTheme="majorHAnsi" w:hAnsiTheme="majorHAnsi" w:cstheme="majorHAnsi"/>
        </w:rPr>
        <w:t xml:space="preserve">arenthood </w:t>
      </w:r>
      <w:r>
        <w:rPr>
          <w:rFonts w:asciiTheme="majorHAnsi" w:hAnsiTheme="majorHAnsi" w:cstheme="majorHAnsi"/>
        </w:rPr>
        <w:t xml:space="preserve">also </w:t>
      </w:r>
      <w:r w:rsidR="00295C50" w:rsidRPr="00295C50">
        <w:rPr>
          <w:rFonts w:asciiTheme="majorHAnsi" w:hAnsiTheme="majorHAnsi" w:cstheme="majorHAnsi"/>
        </w:rPr>
        <w:t xml:space="preserve">affects employment differently </w:t>
      </w:r>
      <w:r w:rsidR="00746EDF">
        <w:rPr>
          <w:rFonts w:asciiTheme="majorHAnsi" w:hAnsiTheme="majorHAnsi" w:cstheme="majorHAnsi"/>
        </w:rPr>
        <w:t>for women and men</w:t>
      </w:r>
      <w:r w:rsidR="00295C50" w:rsidRPr="00295C50">
        <w:rPr>
          <w:rFonts w:asciiTheme="majorHAnsi" w:hAnsiTheme="majorHAnsi" w:cstheme="majorHAnsi"/>
        </w:rPr>
        <w:t>. Kleven et al. (2023) found that 41</w:t>
      </w:r>
      <w:r w:rsidR="00746EDF">
        <w:rPr>
          <w:rFonts w:asciiTheme="majorHAnsi" w:hAnsiTheme="majorHAnsi" w:cstheme="majorHAnsi"/>
        </w:rPr>
        <w:t xml:space="preserve"> percent</w:t>
      </w:r>
      <w:r w:rsidR="00295C50" w:rsidRPr="00295C50">
        <w:rPr>
          <w:rFonts w:asciiTheme="majorHAnsi" w:hAnsiTheme="majorHAnsi" w:cstheme="majorHAnsi"/>
        </w:rPr>
        <w:t xml:space="preserve"> of Peruvian women leave the workforce after the birth of their first child, a trend </w:t>
      </w:r>
      <w:r w:rsidR="009554DA">
        <w:rPr>
          <w:rFonts w:asciiTheme="majorHAnsi" w:hAnsiTheme="majorHAnsi" w:cstheme="majorHAnsi"/>
        </w:rPr>
        <w:t xml:space="preserve">that </w:t>
      </w:r>
      <w:r w:rsidR="00295C50" w:rsidRPr="00295C50">
        <w:rPr>
          <w:rFonts w:asciiTheme="majorHAnsi" w:hAnsiTheme="majorHAnsi" w:cstheme="majorHAnsi"/>
        </w:rPr>
        <w:t>persist</w:t>
      </w:r>
      <w:r w:rsidR="009554DA">
        <w:rPr>
          <w:rFonts w:asciiTheme="majorHAnsi" w:hAnsiTheme="majorHAnsi" w:cstheme="majorHAnsi"/>
        </w:rPr>
        <w:t>s</w:t>
      </w:r>
      <w:r w:rsidR="00295C50" w:rsidRPr="00295C50">
        <w:rPr>
          <w:rFonts w:asciiTheme="majorHAnsi" w:hAnsiTheme="majorHAnsi" w:cstheme="majorHAnsi"/>
        </w:rPr>
        <w:t xml:space="preserve"> </w:t>
      </w:r>
      <w:r w:rsidR="009554DA">
        <w:rPr>
          <w:rFonts w:asciiTheme="majorHAnsi" w:hAnsiTheme="majorHAnsi" w:cstheme="majorHAnsi"/>
        </w:rPr>
        <w:t xml:space="preserve">even a </w:t>
      </w:r>
      <w:r w:rsidR="00295C50" w:rsidRPr="00295C50">
        <w:rPr>
          <w:rFonts w:asciiTheme="majorHAnsi" w:hAnsiTheme="majorHAnsi" w:cstheme="majorHAnsi"/>
        </w:rPr>
        <w:t>decade later</w:t>
      </w:r>
      <w:r w:rsidR="009554DA">
        <w:rPr>
          <w:rFonts w:asciiTheme="majorHAnsi" w:hAnsiTheme="majorHAnsi" w:cstheme="majorHAnsi"/>
        </w:rPr>
        <w:t xml:space="preserve">. In contrast, </w:t>
      </w:r>
      <w:r w:rsidR="00746EDF">
        <w:rPr>
          <w:rFonts w:asciiTheme="majorHAnsi" w:hAnsiTheme="majorHAnsi" w:cstheme="majorHAnsi"/>
        </w:rPr>
        <w:t>m</w:t>
      </w:r>
      <w:r w:rsidR="00295C50" w:rsidRPr="00295C50">
        <w:rPr>
          <w:rFonts w:asciiTheme="majorHAnsi" w:hAnsiTheme="majorHAnsi" w:cstheme="majorHAnsi"/>
        </w:rPr>
        <w:t>en</w:t>
      </w:r>
      <w:r w:rsidR="00746EDF">
        <w:rPr>
          <w:rFonts w:asciiTheme="majorHAnsi" w:hAnsiTheme="majorHAnsi" w:cstheme="majorHAnsi"/>
        </w:rPr>
        <w:t>’</w:t>
      </w:r>
      <w:r w:rsidR="00295C50" w:rsidRPr="00295C50">
        <w:rPr>
          <w:rFonts w:asciiTheme="majorHAnsi" w:hAnsiTheme="majorHAnsi" w:cstheme="majorHAnsi"/>
        </w:rPr>
        <w:t xml:space="preserve">s employment remains largely unaffected by parenthood. </w:t>
      </w:r>
      <w:r w:rsidR="009554DA">
        <w:rPr>
          <w:rFonts w:asciiTheme="majorHAnsi" w:hAnsiTheme="majorHAnsi" w:cstheme="majorHAnsi"/>
        </w:rPr>
        <w:t xml:space="preserve">Interestingly, while </w:t>
      </w:r>
      <w:r w:rsidR="00AF525C">
        <w:rPr>
          <w:rFonts w:asciiTheme="majorHAnsi" w:hAnsiTheme="majorHAnsi" w:cstheme="majorHAnsi"/>
        </w:rPr>
        <w:t xml:space="preserve">women tend to work more when there are older children in the household (between the ages of 3 </w:t>
      </w:r>
      <w:r w:rsidR="00AF525C">
        <w:rPr>
          <w:rFonts w:asciiTheme="majorHAnsi" w:hAnsiTheme="majorHAnsi" w:cstheme="majorHAnsi"/>
        </w:rPr>
        <w:lastRenderedPageBreak/>
        <w:t>and 15 years old</w:t>
      </w:r>
      <w:r w:rsidR="00AF2FC1">
        <w:rPr>
          <w:rFonts w:asciiTheme="majorHAnsi" w:hAnsiTheme="majorHAnsi" w:cstheme="majorHAnsi"/>
        </w:rPr>
        <w:t>)</w:t>
      </w:r>
      <w:r w:rsidR="00AF525C">
        <w:rPr>
          <w:rFonts w:asciiTheme="majorHAnsi" w:hAnsiTheme="majorHAnsi" w:cstheme="majorHAnsi"/>
        </w:rPr>
        <w:t xml:space="preserve">, they also tend to </w:t>
      </w:r>
      <w:r w:rsidR="00542923">
        <w:rPr>
          <w:rFonts w:asciiTheme="majorHAnsi" w:hAnsiTheme="majorHAnsi" w:cstheme="majorHAnsi"/>
        </w:rPr>
        <w:t xml:space="preserve">bias their occupational choices towards more flexible, part time, informal or self-employed alternatives (Berniell et al., 2021). </w:t>
      </w:r>
    </w:p>
    <w:p w14:paraId="3755D45E" w14:textId="77777777" w:rsidR="00EE5C39" w:rsidRDefault="00EE5C39" w:rsidP="00295C50">
      <w:pPr>
        <w:spacing w:after="0"/>
        <w:jc w:val="both"/>
        <w:rPr>
          <w:rFonts w:asciiTheme="majorHAnsi" w:hAnsiTheme="majorHAnsi" w:cstheme="majorHAnsi"/>
        </w:rPr>
      </w:pPr>
    </w:p>
    <w:p w14:paraId="3AC336F6" w14:textId="73C3EA22" w:rsidR="00295C50" w:rsidRDefault="004C1351" w:rsidP="009A13A2">
      <w:pPr>
        <w:spacing w:after="0"/>
        <w:jc w:val="both"/>
        <w:rPr>
          <w:rFonts w:asciiTheme="majorHAnsi" w:hAnsiTheme="majorHAnsi" w:cstheme="majorHAnsi"/>
        </w:rPr>
      </w:pPr>
      <w:r>
        <w:rPr>
          <w:rFonts w:asciiTheme="majorHAnsi" w:hAnsiTheme="majorHAnsi" w:cstheme="majorHAnsi"/>
        </w:rPr>
        <w:t xml:space="preserve">Financial </w:t>
      </w:r>
      <w:r w:rsidR="00DC7F86">
        <w:rPr>
          <w:rFonts w:asciiTheme="majorHAnsi" w:hAnsiTheme="majorHAnsi" w:cstheme="majorHAnsi"/>
        </w:rPr>
        <w:t xml:space="preserve">and digital </w:t>
      </w:r>
      <w:r>
        <w:rPr>
          <w:rFonts w:asciiTheme="majorHAnsi" w:hAnsiTheme="majorHAnsi" w:cstheme="majorHAnsi"/>
        </w:rPr>
        <w:t xml:space="preserve">inclusion </w:t>
      </w:r>
      <w:r w:rsidR="0018069A">
        <w:rPr>
          <w:rFonts w:asciiTheme="majorHAnsi" w:hAnsiTheme="majorHAnsi" w:cstheme="majorHAnsi"/>
        </w:rPr>
        <w:t xml:space="preserve">represent additional </w:t>
      </w:r>
      <w:r w:rsidR="00DC7F86">
        <w:rPr>
          <w:rFonts w:asciiTheme="majorHAnsi" w:hAnsiTheme="majorHAnsi" w:cstheme="majorHAnsi"/>
        </w:rPr>
        <w:t xml:space="preserve">areas where gender disparities are </w:t>
      </w:r>
      <w:r w:rsidR="0018069A">
        <w:rPr>
          <w:rFonts w:asciiTheme="majorHAnsi" w:hAnsiTheme="majorHAnsi" w:cstheme="majorHAnsi"/>
        </w:rPr>
        <w:t>evident in Peru</w:t>
      </w:r>
      <w:r w:rsidR="00225C01">
        <w:rPr>
          <w:rFonts w:asciiTheme="majorHAnsi" w:hAnsiTheme="majorHAnsi" w:cstheme="majorHAnsi"/>
        </w:rPr>
        <w:t xml:space="preserve">. </w:t>
      </w:r>
      <w:r w:rsidR="0018069A">
        <w:rPr>
          <w:rFonts w:asciiTheme="majorHAnsi" w:hAnsiTheme="majorHAnsi" w:cstheme="majorHAnsi"/>
        </w:rPr>
        <w:t xml:space="preserve">Women have lower accesso to financial services compared to men, with </w:t>
      </w:r>
      <w:r w:rsidR="00295C50" w:rsidRPr="00295C50">
        <w:rPr>
          <w:rFonts w:asciiTheme="majorHAnsi" w:hAnsiTheme="majorHAnsi" w:cstheme="majorHAnsi"/>
        </w:rPr>
        <w:t>56</w:t>
      </w:r>
      <w:r w:rsidR="00331CBB">
        <w:rPr>
          <w:rFonts w:asciiTheme="majorHAnsi" w:hAnsiTheme="majorHAnsi" w:cstheme="majorHAnsi"/>
        </w:rPr>
        <w:t xml:space="preserve"> percent</w:t>
      </w:r>
      <w:r w:rsidR="00295C50" w:rsidRPr="00295C50">
        <w:rPr>
          <w:rFonts w:asciiTheme="majorHAnsi" w:hAnsiTheme="majorHAnsi" w:cstheme="majorHAnsi"/>
        </w:rPr>
        <w:t xml:space="preserve"> </w:t>
      </w:r>
      <w:r w:rsidR="0018069A">
        <w:rPr>
          <w:rFonts w:asciiTheme="majorHAnsi" w:hAnsiTheme="majorHAnsi" w:cstheme="majorHAnsi"/>
        </w:rPr>
        <w:t xml:space="preserve">of women holding deposit accounts </w:t>
      </w:r>
      <w:r w:rsidR="00295C50" w:rsidRPr="00295C50">
        <w:rPr>
          <w:rFonts w:asciiTheme="majorHAnsi" w:hAnsiTheme="majorHAnsi" w:cstheme="majorHAnsi"/>
        </w:rPr>
        <w:t>compared to 60</w:t>
      </w:r>
      <w:r w:rsidR="00192E91">
        <w:rPr>
          <w:rFonts w:asciiTheme="majorHAnsi" w:hAnsiTheme="majorHAnsi" w:cstheme="majorHAnsi"/>
        </w:rPr>
        <w:t xml:space="preserve"> percent </w:t>
      </w:r>
      <w:r w:rsidR="00295C50" w:rsidRPr="00295C50">
        <w:rPr>
          <w:rFonts w:asciiTheme="majorHAnsi" w:hAnsiTheme="majorHAnsi" w:cstheme="majorHAnsi"/>
        </w:rPr>
        <w:t>of men.</w:t>
      </w:r>
      <w:r w:rsidR="00170054">
        <w:rPr>
          <w:rFonts w:asciiTheme="majorHAnsi" w:hAnsiTheme="majorHAnsi" w:cstheme="majorHAnsi"/>
        </w:rPr>
        <w:t xml:space="preserve"> </w:t>
      </w:r>
      <w:r w:rsidR="00EB27C6">
        <w:rPr>
          <w:rFonts w:asciiTheme="majorHAnsi" w:hAnsiTheme="majorHAnsi" w:cstheme="majorHAnsi"/>
        </w:rPr>
        <w:t xml:space="preserve">While </w:t>
      </w:r>
      <w:r w:rsidR="00A735BE">
        <w:rPr>
          <w:rFonts w:asciiTheme="majorHAnsi" w:hAnsiTheme="majorHAnsi" w:cstheme="majorHAnsi"/>
        </w:rPr>
        <w:t>w</w:t>
      </w:r>
      <w:r w:rsidR="00295C50" w:rsidRPr="00295C50">
        <w:rPr>
          <w:rFonts w:asciiTheme="majorHAnsi" w:hAnsiTheme="majorHAnsi" w:cstheme="majorHAnsi"/>
        </w:rPr>
        <w:t>omen account for 50</w:t>
      </w:r>
      <w:r w:rsidR="00192E91">
        <w:rPr>
          <w:rFonts w:asciiTheme="majorHAnsi" w:hAnsiTheme="majorHAnsi" w:cstheme="majorHAnsi"/>
        </w:rPr>
        <w:t xml:space="preserve"> percent</w:t>
      </w:r>
      <w:r w:rsidR="00295C50" w:rsidRPr="00295C50">
        <w:rPr>
          <w:rFonts w:asciiTheme="majorHAnsi" w:hAnsiTheme="majorHAnsi" w:cstheme="majorHAnsi"/>
        </w:rPr>
        <w:t xml:space="preserve"> of borrowers</w:t>
      </w:r>
      <w:r w:rsidR="00A735BE">
        <w:rPr>
          <w:rFonts w:asciiTheme="majorHAnsi" w:hAnsiTheme="majorHAnsi" w:cstheme="majorHAnsi"/>
        </w:rPr>
        <w:t>, their credit balance</w:t>
      </w:r>
      <w:r w:rsidR="00170054">
        <w:rPr>
          <w:rFonts w:asciiTheme="majorHAnsi" w:hAnsiTheme="majorHAnsi" w:cstheme="majorHAnsi"/>
        </w:rPr>
        <w:t xml:space="preserve"> </w:t>
      </w:r>
      <w:r w:rsidR="00EB27C6">
        <w:rPr>
          <w:rFonts w:asciiTheme="majorHAnsi" w:hAnsiTheme="majorHAnsi" w:cstheme="majorHAnsi"/>
        </w:rPr>
        <w:t>constitutes</w:t>
      </w:r>
      <w:r w:rsidR="00295C50" w:rsidRPr="00295C50">
        <w:rPr>
          <w:rFonts w:asciiTheme="majorHAnsi" w:hAnsiTheme="majorHAnsi" w:cstheme="majorHAnsi"/>
        </w:rPr>
        <w:t xml:space="preserve"> </w:t>
      </w:r>
      <w:r w:rsidR="00170054">
        <w:rPr>
          <w:rFonts w:asciiTheme="majorHAnsi" w:hAnsiTheme="majorHAnsi" w:cstheme="majorHAnsi"/>
        </w:rPr>
        <w:t xml:space="preserve">only </w:t>
      </w:r>
      <w:r w:rsidR="00295C50" w:rsidRPr="00295C50">
        <w:rPr>
          <w:rFonts w:asciiTheme="majorHAnsi" w:hAnsiTheme="majorHAnsi" w:cstheme="majorHAnsi"/>
        </w:rPr>
        <w:t>41</w:t>
      </w:r>
      <w:r w:rsidR="00192E91">
        <w:rPr>
          <w:rFonts w:asciiTheme="majorHAnsi" w:hAnsiTheme="majorHAnsi" w:cstheme="majorHAnsi"/>
        </w:rPr>
        <w:t xml:space="preserve"> percent</w:t>
      </w:r>
      <w:r w:rsidR="00295C50" w:rsidRPr="00295C50">
        <w:rPr>
          <w:rFonts w:asciiTheme="majorHAnsi" w:hAnsiTheme="majorHAnsi" w:cstheme="majorHAnsi"/>
        </w:rPr>
        <w:t xml:space="preserve"> of the tota</w:t>
      </w:r>
      <w:r w:rsidR="00170054">
        <w:rPr>
          <w:rFonts w:asciiTheme="majorHAnsi" w:hAnsiTheme="majorHAnsi" w:cstheme="majorHAnsi"/>
        </w:rPr>
        <w:t>l</w:t>
      </w:r>
      <w:r w:rsidR="00295C50" w:rsidRPr="00295C50">
        <w:rPr>
          <w:rFonts w:asciiTheme="majorHAnsi" w:hAnsiTheme="majorHAnsi" w:cstheme="majorHAnsi"/>
        </w:rPr>
        <w:t xml:space="preserve"> balance, </w:t>
      </w:r>
      <w:r w:rsidR="00EB27C6">
        <w:rPr>
          <w:rFonts w:asciiTheme="majorHAnsi" w:hAnsiTheme="majorHAnsi" w:cstheme="majorHAnsi"/>
        </w:rPr>
        <w:t>and</w:t>
      </w:r>
      <w:r w:rsidR="00295C50" w:rsidRPr="00295C50">
        <w:rPr>
          <w:rFonts w:asciiTheme="majorHAnsi" w:hAnsiTheme="majorHAnsi" w:cstheme="majorHAnsi"/>
        </w:rPr>
        <w:t xml:space="preserve"> their average debt </w:t>
      </w:r>
      <w:r w:rsidR="00EB27C6">
        <w:rPr>
          <w:rFonts w:asciiTheme="majorHAnsi" w:hAnsiTheme="majorHAnsi" w:cstheme="majorHAnsi"/>
        </w:rPr>
        <w:t xml:space="preserve">stands </w:t>
      </w:r>
      <w:r w:rsidR="00295C50" w:rsidRPr="00295C50">
        <w:rPr>
          <w:rFonts w:asciiTheme="majorHAnsi" w:hAnsiTheme="majorHAnsi" w:cstheme="majorHAnsi"/>
        </w:rPr>
        <w:t>at 70</w:t>
      </w:r>
      <w:r w:rsidR="00192E91">
        <w:rPr>
          <w:rFonts w:asciiTheme="majorHAnsi" w:hAnsiTheme="majorHAnsi" w:cstheme="majorHAnsi"/>
        </w:rPr>
        <w:t xml:space="preserve"> percent</w:t>
      </w:r>
      <w:r w:rsidR="00295C50" w:rsidRPr="00295C50">
        <w:rPr>
          <w:rFonts w:asciiTheme="majorHAnsi" w:hAnsiTheme="majorHAnsi" w:cstheme="majorHAnsi"/>
        </w:rPr>
        <w:t xml:space="preserve"> of men</w:t>
      </w:r>
      <w:r w:rsidR="00192E91">
        <w:rPr>
          <w:rFonts w:asciiTheme="majorHAnsi" w:hAnsiTheme="majorHAnsi" w:cstheme="majorHAnsi"/>
        </w:rPr>
        <w:t>’</w:t>
      </w:r>
      <w:r w:rsidR="00295C50" w:rsidRPr="00295C50">
        <w:rPr>
          <w:rFonts w:asciiTheme="majorHAnsi" w:hAnsiTheme="majorHAnsi" w:cstheme="majorHAnsi"/>
        </w:rPr>
        <w:t xml:space="preserve">s. </w:t>
      </w:r>
      <w:r w:rsidR="00A44841">
        <w:rPr>
          <w:rFonts w:asciiTheme="majorHAnsi" w:hAnsiTheme="majorHAnsi" w:cstheme="majorHAnsi"/>
        </w:rPr>
        <w:t>Moreover, w</w:t>
      </w:r>
      <w:r w:rsidR="00295C50" w:rsidRPr="00295C50">
        <w:rPr>
          <w:rFonts w:asciiTheme="majorHAnsi" w:hAnsiTheme="majorHAnsi" w:cstheme="majorHAnsi"/>
        </w:rPr>
        <w:t xml:space="preserve">omen demonstrate lower </w:t>
      </w:r>
      <w:r w:rsidR="00A44841">
        <w:rPr>
          <w:rFonts w:asciiTheme="majorHAnsi" w:hAnsiTheme="majorHAnsi" w:cstheme="majorHAnsi"/>
        </w:rPr>
        <w:t xml:space="preserve">levels of </w:t>
      </w:r>
      <w:r w:rsidR="00295C50" w:rsidRPr="00295C50">
        <w:rPr>
          <w:rFonts w:asciiTheme="majorHAnsi" w:hAnsiTheme="majorHAnsi" w:cstheme="majorHAnsi"/>
        </w:rPr>
        <w:t>financial well-being and literacy</w:t>
      </w:r>
      <w:r w:rsidR="00A44841">
        <w:rPr>
          <w:rFonts w:asciiTheme="majorHAnsi" w:hAnsiTheme="majorHAnsi" w:cstheme="majorHAnsi"/>
        </w:rPr>
        <w:t>. Only</w:t>
      </w:r>
      <w:r w:rsidR="00295C50" w:rsidRPr="00295C50">
        <w:rPr>
          <w:rFonts w:asciiTheme="majorHAnsi" w:hAnsiTheme="majorHAnsi" w:cstheme="majorHAnsi"/>
        </w:rPr>
        <w:t xml:space="preserve"> 38</w:t>
      </w:r>
      <w:r w:rsidR="00192E91">
        <w:rPr>
          <w:rFonts w:asciiTheme="majorHAnsi" w:hAnsiTheme="majorHAnsi" w:cstheme="majorHAnsi"/>
        </w:rPr>
        <w:t xml:space="preserve"> percent</w:t>
      </w:r>
      <w:r w:rsidR="00295C50" w:rsidRPr="00295C50">
        <w:rPr>
          <w:rFonts w:asciiTheme="majorHAnsi" w:hAnsiTheme="majorHAnsi" w:cstheme="majorHAnsi"/>
        </w:rPr>
        <w:t xml:space="preserve"> of women show sufficient or medium financial well-being compared to 49</w:t>
      </w:r>
      <w:r w:rsidR="00192E91">
        <w:rPr>
          <w:rFonts w:asciiTheme="majorHAnsi" w:hAnsiTheme="majorHAnsi" w:cstheme="majorHAnsi"/>
        </w:rPr>
        <w:t xml:space="preserve"> percent</w:t>
      </w:r>
      <w:r w:rsidR="00295C50" w:rsidRPr="00295C50">
        <w:rPr>
          <w:rFonts w:asciiTheme="majorHAnsi" w:hAnsiTheme="majorHAnsi" w:cstheme="majorHAnsi"/>
        </w:rPr>
        <w:t xml:space="preserve"> of men (SBS, 2023).</w:t>
      </w:r>
      <w:r w:rsidR="009E5D20" w:rsidRPr="009E5D20">
        <w:t xml:space="preserve"> </w:t>
      </w:r>
      <w:r w:rsidR="009E5D20" w:rsidRPr="009E5D20">
        <w:rPr>
          <w:rFonts w:asciiTheme="majorHAnsi" w:hAnsiTheme="majorHAnsi" w:cstheme="majorHAnsi"/>
        </w:rPr>
        <w:t>These disparities in financial inclusion can limit women's economic opportunities and autonomy.</w:t>
      </w:r>
    </w:p>
    <w:p w14:paraId="2002BE82" w14:textId="77777777" w:rsidR="00225C01" w:rsidRDefault="00225C01" w:rsidP="00295C50">
      <w:pPr>
        <w:spacing w:after="0"/>
        <w:jc w:val="both"/>
        <w:rPr>
          <w:rFonts w:asciiTheme="majorHAnsi" w:hAnsiTheme="majorHAnsi" w:cstheme="majorHAnsi"/>
        </w:rPr>
      </w:pPr>
    </w:p>
    <w:p w14:paraId="2F6CFD94" w14:textId="6842D62D" w:rsidR="00225C01" w:rsidRDefault="00225C01" w:rsidP="00295C50">
      <w:pPr>
        <w:spacing w:after="0"/>
        <w:jc w:val="both"/>
        <w:rPr>
          <w:rFonts w:asciiTheme="majorHAnsi" w:hAnsiTheme="majorHAnsi" w:cstheme="majorHAnsi"/>
        </w:rPr>
      </w:pPr>
      <w:r>
        <w:rPr>
          <w:rFonts w:asciiTheme="majorHAnsi" w:hAnsiTheme="majorHAnsi" w:cstheme="majorHAnsi"/>
        </w:rPr>
        <w:t>Th</w:t>
      </w:r>
      <w:r w:rsidR="00BE7A9D">
        <w:rPr>
          <w:rFonts w:asciiTheme="majorHAnsi" w:hAnsiTheme="majorHAnsi" w:cstheme="majorHAnsi"/>
        </w:rPr>
        <w:t>e financial disparities</w:t>
      </w:r>
      <w:r>
        <w:rPr>
          <w:rFonts w:asciiTheme="majorHAnsi" w:hAnsiTheme="majorHAnsi" w:cstheme="majorHAnsi"/>
        </w:rPr>
        <w:t xml:space="preserve"> translate into </w:t>
      </w:r>
      <w:r w:rsidR="00BE7A9D">
        <w:rPr>
          <w:rFonts w:asciiTheme="majorHAnsi" w:hAnsiTheme="majorHAnsi" w:cstheme="majorHAnsi"/>
        </w:rPr>
        <w:t>fewer</w:t>
      </w:r>
      <w:r>
        <w:rPr>
          <w:rFonts w:asciiTheme="majorHAnsi" w:hAnsiTheme="majorHAnsi" w:cstheme="majorHAnsi"/>
        </w:rPr>
        <w:t xml:space="preserve"> opportunities </w:t>
      </w:r>
      <w:r w:rsidR="00BE7A9D">
        <w:rPr>
          <w:rFonts w:asciiTheme="majorHAnsi" w:hAnsiTheme="majorHAnsi" w:cstheme="majorHAnsi"/>
        </w:rPr>
        <w:t xml:space="preserve">for female </w:t>
      </w:r>
      <w:r w:rsidR="00A15902">
        <w:rPr>
          <w:rFonts w:asciiTheme="majorHAnsi" w:hAnsiTheme="majorHAnsi" w:cstheme="majorHAnsi"/>
        </w:rPr>
        <w:t>entrepreneurs</w:t>
      </w:r>
      <w:r w:rsidR="009E5D20">
        <w:rPr>
          <w:rFonts w:asciiTheme="majorHAnsi" w:hAnsiTheme="majorHAnsi" w:cstheme="majorHAnsi"/>
        </w:rPr>
        <w:t>, d</w:t>
      </w:r>
      <w:r w:rsidR="007A5446" w:rsidRPr="007A5446">
        <w:rPr>
          <w:rFonts w:asciiTheme="majorHAnsi" w:hAnsiTheme="majorHAnsi" w:cstheme="majorHAnsi"/>
        </w:rPr>
        <w:t>espite high</w:t>
      </w:r>
      <w:r w:rsidR="009E5D20">
        <w:rPr>
          <w:rFonts w:asciiTheme="majorHAnsi" w:hAnsiTheme="majorHAnsi" w:cstheme="majorHAnsi"/>
        </w:rPr>
        <w:t>er</w:t>
      </w:r>
      <w:r w:rsidR="007A5446" w:rsidRPr="007A5446">
        <w:rPr>
          <w:rFonts w:asciiTheme="majorHAnsi" w:hAnsiTheme="majorHAnsi" w:cstheme="majorHAnsi"/>
        </w:rPr>
        <w:t xml:space="preserve"> rates of female business ownership</w:t>
      </w:r>
      <w:r w:rsidR="009E5D20">
        <w:rPr>
          <w:rFonts w:asciiTheme="majorHAnsi" w:hAnsiTheme="majorHAnsi" w:cstheme="majorHAnsi"/>
        </w:rPr>
        <w:t xml:space="preserve">/ According to the </w:t>
      </w:r>
      <w:r w:rsidR="007A5446" w:rsidRPr="007A5446">
        <w:rPr>
          <w:rFonts w:asciiTheme="majorHAnsi" w:hAnsiTheme="majorHAnsi" w:cstheme="majorHAnsi"/>
        </w:rPr>
        <w:t>World Bank Enterprise Survey</w:t>
      </w:r>
      <w:r w:rsidR="009E5D20">
        <w:rPr>
          <w:rFonts w:asciiTheme="majorHAnsi" w:hAnsiTheme="majorHAnsi" w:cstheme="majorHAnsi"/>
        </w:rPr>
        <w:t xml:space="preserve">, over half of firms in Peru have some form of </w:t>
      </w:r>
      <w:r w:rsidR="007A5446" w:rsidRPr="007A5446">
        <w:rPr>
          <w:rFonts w:asciiTheme="majorHAnsi" w:hAnsiTheme="majorHAnsi" w:cstheme="majorHAnsi"/>
        </w:rPr>
        <w:t>female</w:t>
      </w:r>
      <w:r w:rsidR="009E5D20">
        <w:rPr>
          <w:rFonts w:asciiTheme="majorHAnsi" w:hAnsiTheme="majorHAnsi" w:cstheme="majorHAnsi"/>
        </w:rPr>
        <w:t xml:space="preserve"> ownership. However, </w:t>
      </w:r>
      <w:r w:rsidR="00D637F0">
        <w:rPr>
          <w:rFonts w:asciiTheme="majorHAnsi" w:hAnsiTheme="majorHAnsi" w:cstheme="majorHAnsi"/>
        </w:rPr>
        <w:t xml:space="preserve">female-led </w:t>
      </w:r>
      <w:r w:rsidR="007A5446" w:rsidRPr="007A5446">
        <w:rPr>
          <w:rFonts w:asciiTheme="majorHAnsi" w:hAnsiTheme="majorHAnsi" w:cstheme="majorHAnsi"/>
        </w:rPr>
        <w:t>businesses tend to be less productive and profitable</w:t>
      </w:r>
      <w:r w:rsidR="00D637F0">
        <w:rPr>
          <w:rFonts w:asciiTheme="majorHAnsi" w:hAnsiTheme="majorHAnsi" w:cstheme="majorHAnsi"/>
        </w:rPr>
        <w:t xml:space="preserve"> than those led by men</w:t>
      </w:r>
      <w:r w:rsidR="007A5446" w:rsidRPr="007A5446">
        <w:rPr>
          <w:rFonts w:asciiTheme="majorHAnsi" w:hAnsiTheme="majorHAnsi" w:cstheme="majorHAnsi"/>
        </w:rPr>
        <w:t xml:space="preserve">. </w:t>
      </w:r>
      <w:r w:rsidR="001A3465">
        <w:rPr>
          <w:rFonts w:asciiTheme="majorHAnsi" w:hAnsiTheme="majorHAnsi" w:cstheme="majorHAnsi"/>
        </w:rPr>
        <w:t xml:space="preserve">This productivity gap is particularly pronounced at the lower end of the productivity spectrum, where women-led businesses are </w:t>
      </w:r>
      <w:r w:rsidR="007A5446" w:rsidRPr="007A5446">
        <w:rPr>
          <w:rFonts w:asciiTheme="majorHAnsi" w:hAnsiTheme="majorHAnsi" w:cstheme="majorHAnsi"/>
        </w:rPr>
        <w:t>up to 45</w:t>
      </w:r>
      <w:r w:rsidR="00112D80">
        <w:rPr>
          <w:rFonts w:asciiTheme="majorHAnsi" w:hAnsiTheme="majorHAnsi" w:cstheme="majorHAnsi"/>
        </w:rPr>
        <w:t xml:space="preserve"> percent</w:t>
      </w:r>
      <w:r w:rsidR="007A5446" w:rsidRPr="007A5446">
        <w:rPr>
          <w:rFonts w:asciiTheme="majorHAnsi" w:hAnsiTheme="majorHAnsi" w:cstheme="majorHAnsi"/>
        </w:rPr>
        <w:t xml:space="preserve"> less productive than their male counterparts (Valdivia et al., forthcoming).</w:t>
      </w:r>
      <w:r w:rsidR="004A5A69" w:rsidRPr="004A5A69">
        <w:t xml:space="preserve"> </w:t>
      </w:r>
      <w:r w:rsidR="004A5A69" w:rsidRPr="004A5A69">
        <w:rPr>
          <w:rFonts w:asciiTheme="majorHAnsi" w:hAnsiTheme="majorHAnsi" w:cstheme="majorHAnsi"/>
        </w:rPr>
        <w:t>Several factors contribute to this disparity, including women's limited access to business networks, knowledge, and credit.</w:t>
      </w:r>
    </w:p>
    <w:p w14:paraId="05C9D2DE" w14:textId="77777777" w:rsidR="00110FAB" w:rsidRDefault="00110FAB" w:rsidP="00295C50">
      <w:pPr>
        <w:spacing w:after="0"/>
        <w:jc w:val="both"/>
        <w:rPr>
          <w:rFonts w:asciiTheme="majorHAnsi" w:hAnsiTheme="majorHAnsi" w:cstheme="majorHAnsi"/>
        </w:rPr>
      </w:pPr>
    </w:p>
    <w:p w14:paraId="300D3A56" w14:textId="4E3E814C" w:rsidR="00295C50" w:rsidRDefault="00112D80" w:rsidP="00290D56">
      <w:pPr>
        <w:spacing w:after="0"/>
        <w:jc w:val="both"/>
        <w:rPr>
          <w:rFonts w:asciiTheme="majorHAnsi" w:hAnsiTheme="majorHAnsi" w:cstheme="majorHAnsi"/>
        </w:rPr>
      </w:pPr>
      <w:r w:rsidRPr="00112D80">
        <w:rPr>
          <w:rFonts w:asciiTheme="majorHAnsi" w:hAnsiTheme="majorHAnsi" w:cstheme="majorHAnsi"/>
        </w:rPr>
        <w:t>Improving women’s labor outcomes is not only crucial for gender equality but also has significant economic benefits. Between 2004 and 2021, improvements in women’s labor outcomes contributed to 31</w:t>
      </w:r>
      <w:r w:rsidR="007554C8">
        <w:rPr>
          <w:rFonts w:asciiTheme="majorHAnsi" w:hAnsiTheme="majorHAnsi" w:cstheme="majorHAnsi"/>
        </w:rPr>
        <w:t xml:space="preserve"> percent </w:t>
      </w:r>
      <w:r w:rsidRPr="00112D80">
        <w:rPr>
          <w:rFonts w:asciiTheme="majorHAnsi" w:hAnsiTheme="majorHAnsi" w:cstheme="majorHAnsi"/>
        </w:rPr>
        <w:t>of the decline in poverty and 39</w:t>
      </w:r>
      <w:r w:rsidR="007554C8">
        <w:rPr>
          <w:rFonts w:asciiTheme="majorHAnsi" w:hAnsiTheme="majorHAnsi" w:cstheme="majorHAnsi"/>
        </w:rPr>
        <w:t xml:space="preserve"> percent</w:t>
      </w:r>
      <w:r w:rsidRPr="00112D80">
        <w:rPr>
          <w:rFonts w:asciiTheme="majorHAnsi" w:hAnsiTheme="majorHAnsi" w:cstheme="majorHAnsi"/>
        </w:rPr>
        <w:t xml:space="preserve"> of the reduction in extreme poverty (World Bank, 2023). </w:t>
      </w:r>
      <w:r w:rsidR="00BA31B8" w:rsidRPr="00112D80">
        <w:rPr>
          <w:rFonts w:asciiTheme="majorHAnsi" w:hAnsiTheme="majorHAnsi" w:cstheme="majorHAnsi"/>
        </w:rPr>
        <w:t>Most of</w:t>
      </w:r>
      <w:r w:rsidRPr="00112D80">
        <w:rPr>
          <w:rFonts w:asciiTheme="majorHAnsi" w:hAnsiTheme="majorHAnsi" w:cstheme="majorHAnsi"/>
        </w:rPr>
        <w:t xml:space="preserve"> this contribution stemmed from increased labor income among </w:t>
      </w:r>
      <w:r w:rsidRPr="00290D56">
        <w:rPr>
          <w:rFonts w:asciiTheme="majorHAnsi" w:hAnsiTheme="majorHAnsi" w:cstheme="majorHAnsi"/>
        </w:rPr>
        <w:t xml:space="preserve">women. </w:t>
      </w:r>
      <w:r w:rsidR="008C3C86" w:rsidRPr="00290D56">
        <w:rPr>
          <w:rFonts w:asciiTheme="majorHAnsi" w:hAnsiTheme="majorHAnsi" w:cstheme="majorHAnsi"/>
        </w:rPr>
        <w:t xml:space="preserve">Furthermore, </w:t>
      </w:r>
      <w:r w:rsidRPr="00290D56">
        <w:rPr>
          <w:rFonts w:asciiTheme="majorHAnsi" w:hAnsiTheme="majorHAnsi" w:cstheme="majorHAnsi"/>
        </w:rPr>
        <w:t xml:space="preserve">general equilibrium models suggest that closing gender gaps in labor outcomes could boost GDP </w:t>
      </w:r>
      <w:r w:rsidR="00290D56" w:rsidRPr="00290D56">
        <w:rPr>
          <w:rFonts w:asciiTheme="majorHAnsi" w:hAnsiTheme="majorHAnsi" w:cstheme="majorHAnsi"/>
        </w:rPr>
        <w:t>growth</w:t>
      </w:r>
      <w:r w:rsidRPr="00290D56">
        <w:rPr>
          <w:rFonts w:asciiTheme="majorHAnsi" w:hAnsiTheme="majorHAnsi" w:cstheme="majorHAnsi"/>
        </w:rPr>
        <w:t xml:space="preserve"> (Peru CEM, forthcoming).</w:t>
      </w:r>
      <w:r w:rsidR="008C3C86" w:rsidRPr="00290D56">
        <w:rPr>
          <w:rFonts w:asciiTheme="majorHAnsi" w:hAnsiTheme="majorHAnsi" w:cstheme="majorHAnsi"/>
        </w:rPr>
        <w:t xml:space="preserve"> </w:t>
      </w:r>
      <w:r w:rsidR="00BA31B8" w:rsidRPr="00290D56">
        <w:rPr>
          <w:rFonts w:asciiTheme="majorHAnsi" w:hAnsiTheme="majorHAnsi" w:cstheme="majorHAnsi"/>
        </w:rPr>
        <w:t>his underscores the importance of addressing gender disparities not just as a matter of equity, but also as a key driver of economic growth and development.</w:t>
      </w:r>
    </w:p>
    <w:p w14:paraId="0706B558" w14:textId="77777777" w:rsidR="004A5A69" w:rsidRPr="00295C50" w:rsidRDefault="004A5A69" w:rsidP="00290D56">
      <w:pPr>
        <w:spacing w:after="0"/>
        <w:jc w:val="both"/>
        <w:rPr>
          <w:rFonts w:asciiTheme="majorHAnsi" w:hAnsiTheme="majorHAnsi" w:cstheme="majorHAnsi"/>
        </w:rPr>
      </w:pPr>
    </w:p>
    <w:p w14:paraId="0683C9EA" w14:textId="77777777" w:rsidR="00295C50" w:rsidRPr="00295C50" w:rsidRDefault="00295C50" w:rsidP="00290D56">
      <w:pPr>
        <w:pStyle w:val="Heading2"/>
        <w:numPr>
          <w:ilvl w:val="0"/>
          <w:numId w:val="0"/>
        </w:numPr>
        <w:spacing w:before="0"/>
        <w:ind w:left="576" w:hanging="576"/>
      </w:pPr>
      <w:r w:rsidRPr="00295C50">
        <w:t>2.1 Legal Framework and Implementation: Insights from Women, Business and the Law</w:t>
      </w:r>
    </w:p>
    <w:p w14:paraId="732BA4F0" w14:textId="3FB1B10F" w:rsidR="00261F72" w:rsidRPr="00261F72" w:rsidRDefault="00261F72" w:rsidP="00290D56">
      <w:pPr>
        <w:spacing w:after="0"/>
        <w:jc w:val="both"/>
        <w:rPr>
          <w:rFonts w:asciiTheme="majorHAnsi" w:hAnsiTheme="majorHAnsi" w:cstheme="majorHAnsi"/>
        </w:rPr>
      </w:pPr>
    </w:p>
    <w:p w14:paraId="1C7CD83B" w14:textId="3CB05DF2" w:rsidR="002F596B" w:rsidRDefault="009A6246" w:rsidP="00290D56">
      <w:pPr>
        <w:spacing w:after="0"/>
        <w:jc w:val="both"/>
        <w:rPr>
          <w:rFonts w:asciiTheme="majorHAnsi" w:hAnsiTheme="majorHAnsi" w:cstheme="majorHAnsi"/>
        </w:rPr>
      </w:pPr>
      <w:r w:rsidRPr="009A6246">
        <w:rPr>
          <w:rFonts w:asciiTheme="majorHAnsi" w:hAnsiTheme="majorHAnsi" w:cstheme="majorHAnsi"/>
        </w:rPr>
        <w:t>The World Bank</w:t>
      </w:r>
      <w:r>
        <w:rPr>
          <w:rFonts w:asciiTheme="majorHAnsi" w:hAnsiTheme="majorHAnsi" w:cstheme="majorHAnsi"/>
        </w:rPr>
        <w:t>’</w:t>
      </w:r>
      <w:r w:rsidRPr="009A6246">
        <w:rPr>
          <w:rFonts w:asciiTheme="majorHAnsi" w:hAnsiTheme="majorHAnsi" w:cstheme="majorHAnsi"/>
        </w:rPr>
        <w:t>s Women, Business and the Law (WBL) 2024 assessment provides valuable insights into Peru's legal and fiscal landscape from a gender perspective. This comprehensive evaluation examines three key areas: women's legal rights, policy instruments designed to support the implementation of these rights, and the practical realization of these rights. The assessment employs a scoring system ranging from 0 to 100, with higher scores indicating greater gender equality in laws and regulations</w:t>
      </w:r>
      <w:r w:rsidR="00E93B90" w:rsidRPr="00E93B90">
        <w:rPr>
          <w:rFonts w:asciiTheme="majorHAnsi" w:hAnsiTheme="majorHAnsi" w:cstheme="majorHAnsi"/>
        </w:rPr>
        <w:t xml:space="preserve">. </w:t>
      </w:r>
    </w:p>
    <w:p w14:paraId="5843FC10" w14:textId="77777777" w:rsidR="002F596B" w:rsidRDefault="002F596B" w:rsidP="00290D56">
      <w:pPr>
        <w:spacing w:after="0"/>
        <w:jc w:val="both"/>
        <w:rPr>
          <w:rFonts w:asciiTheme="majorHAnsi" w:hAnsiTheme="majorHAnsi" w:cstheme="majorHAnsi"/>
        </w:rPr>
      </w:pPr>
    </w:p>
    <w:p w14:paraId="6C6376EF" w14:textId="44D27BAB" w:rsidR="00261F72" w:rsidRPr="00261F72" w:rsidRDefault="009A6246" w:rsidP="00290D56">
      <w:pPr>
        <w:spacing w:after="0"/>
        <w:jc w:val="both"/>
        <w:rPr>
          <w:rFonts w:asciiTheme="majorHAnsi" w:hAnsiTheme="majorHAnsi" w:cstheme="majorHAnsi"/>
        </w:rPr>
      </w:pPr>
      <w:r w:rsidRPr="009A6246">
        <w:rPr>
          <w:rFonts w:asciiTheme="majorHAnsi" w:hAnsiTheme="majorHAnsi" w:cstheme="majorHAnsi"/>
        </w:rPr>
        <w:t>For Peru, the WBL 2024 assessment includes a detailed review of tax legislation, focusing primarily on personal income taxes and, to a lesser extent, on property income taxation. It also analyzes gender-responsive budgeting practices within Peru's public financial management system. This multifaceted approach allows for a nuanced understanding of both explicit and implicit gender biases that may exist within Peru's fiscal framework.</w:t>
      </w:r>
    </w:p>
    <w:p w14:paraId="3ED69075" w14:textId="77777777" w:rsidR="00261F72" w:rsidRPr="00261F72" w:rsidRDefault="00261F72" w:rsidP="00290D56">
      <w:pPr>
        <w:spacing w:after="0"/>
        <w:jc w:val="both"/>
        <w:rPr>
          <w:rFonts w:asciiTheme="majorHAnsi" w:hAnsiTheme="majorHAnsi" w:cstheme="majorHAnsi"/>
        </w:rPr>
      </w:pPr>
    </w:p>
    <w:p w14:paraId="4870A60E" w14:textId="0138BFFC" w:rsidR="00261F72" w:rsidRPr="00261F72" w:rsidRDefault="00261F72" w:rsidP="00290D56">
      <w:pPr>
        <w:spacing w:after="0"/>
        <w:jc w:val="both"/>
        <w:rPr>
          <w:rFonts w:asciiTheme="majorHAnsi" w:hAnsiTheme="majorHAnsi" w:cstheme="majorHAnsi"/>
        </w:rPr>
      </w:pPr>
      <w:r w:rsidRPr="00261F72">
        <w:rPr>
          <w:rFonts w:asciiTheme="majorHAnsi" w:hAnsiTheme="majorHAnsi" w:cstheme="majorHAnsi"/>
        </w:rPr>
        <w:t>Peru</w:t>
      </w:r>
      <w:r w:rsidR="005B160E">
        <w:rPr>
          <w:rFonts w:asciiTheme="majorHAnsi" w:hAnsiTheme="majorHAnsi" w:cstheme="majorHAnsi"/>
        </w:rPr>
        <w:t>’</w:t>
      </w:r>
      <w:r w:rsidRPr="00261F72">
        <w:rPr>
          <w:rFonts w:asciiTheme="majorHAnsi" w:hAnsiTheme="majorHAnsi" w:cstheme="majorHAnsi"/>
        </w:rPr>
        <w:t xml:space="preserve">s legal framework for gender equality is robust, scoring 95 out of 100 on the WBL index. This high score reflects strong legal protections across various dimensions of economic participation. However, the assessment reveals a gap between legal provisions and their practical implementation. Expert opinions on </w:t>
      </w:r>
      <w:r w:rsidRPr="00261F72">
        <w:rPr>
          <w:rFonts w:asciiTheme="majorHAnsi" w:hAnsiTheme="majorHAnsi" w:cstheme="majorHAnsi"/>
        </w:rPr>
        <w:lastRenderedPageBreak/>
        <w:t>actual gender opportunities in Peru score only 59 out of 100, indicating that despite strong laws, real-world equality remains elusive.</w:t>
      </w:r>
    </w:p>
    <w:p w14:paraId="249F40DA" w14:textId="77777777" w:rsidR="00261F72" w:rsidRPr="00261F72" w:rsidRDefault="00261F72" w:rsidP="00290D56">
      <w:pPr>
        <w:spacing w:after="0"/>
        <w:jc w:val="both"/>
        <w:rPr>
          <w:rFonts w:asciiTheme="majorHAnsi" w:hAnsiTheme="majorHAnsi" w:cstheme="majorHAnsi"/>
        </w:rPr>
      </w:pPr>
    </w:p>
    <w:p w14:paraId="615FBB27" w14:textId="6DAAC99D" w:rsidR="00716024" w:rsidRPr="00716024" w:rsidRDefault="00261F72" w:rsidP="00290D56">
      <w:pPr>
        <w:spacing w:after="0"/>
        <w:jc w:val="both"/>
        <w:rPr>
          <w:rFonts w:asciiTheme="majorHAnsi" w:hAnsiTheme="majorHAnsi" w:cstheme="majorHAnsi"/>
        </w:rPr>
      </w:pPr>
      <w:r w:rsidRPr="00261F72">
        <w:rPr>
          <w:rFonts w:asciiTheme="majorHAnsi" w:hAnsiTheme="majorHAnsi" w:cstheme="majorHAnsi"/>
        </w:rPr>
        <w:t>In examining Peru</w:t>
      </w:r>
      <w:r w:rsidR="001663D6">
        <w:rPr>
          <w:rFonts w:asciiTheme="majorHAnsi" w:hAnsiTheme="majorHAnsi" w:cstheme="majorHAnsi"/>
        </w:rPr>
        <w:t>’</w:t>
      </w:r>
      <w:r w:rsidRPr="00261F72">
        <w:rPr>
          <w:rFonts w:asciiTheme="majorHAnsi" w:hAnsiTheme="majorHAnsi" w:cstheme="majorHAnsi"/>
        </w:rPr>
        <w:t xml:space="preserve">s tax system, the assessment finds it to be largely gender-neutral. </w:t>
      </w:r>
      <w:r w:rsidR="00716024" w:rsidRPr="00716024">
        <w:rPr>
          <w:rFonts w:asciiTheme="majorHAnsi" w:hAnsiTheme="majorHAnsi" w:cstheme="majorHAnsi"/>
        </w:rPr>
        <w:t xml:space="preserve">The Personal Income Tax (PIT) filing process in Peru does not offer a joint-filing option for marital partnerships. According to the </w:t>
      </w:r>
      <w:r w:rsidR="00716024" w:rsidRPr="005A767E">
        <w:rPr>
          <w:rFonts w:asciiTheme="majorHAnsi" w:hAnsiTheme="majorHAnsi" w:cstheme="majorHAnsi"/>
          <w:i/>
          <w:iCs/>
        </w:rPr>
        <w:t>Reglamento de la Ley del Impuesto a la Renta</w:t>
      </w:r>
      <w:r w:rsidR="00716024" w:rsidRPr="00716024">
        <w:rPr>
          <w:rFonts w:asciiTheme="majorHAnsi" w:hAnsiTheme="majorHAnsi" w:cstheme="majorHAnsi"/>
        </w:rPr>
        <w:t xml:space="preserve"> </w:t>
      </w:r>
      <w:r w:rsidR="00796DFC">
        <w:rPr>
          <w:rFonts w:asciiTheme="majorHAnsi" w:hAnsiTheme="majorHAnsi" w:cstheme="majorHAnsi"/>
        </w:rPr>
        <w:t>(</w:t>
      </w:r>
      <w:r w:rsidR="00716024" w:rsidRPr="00716024">
        <w:rPr>
          <w:rFonts w:asciiTheme="majorHAnsi" w:hAnsiTheme="majorHAnsi" w:cstheme="majorHAnsi"/>
        </w:rPr>
        <w:t>Art</w:t>
      </w:r>
      <w:r w:rsidR="00796DFC">
        <w:rPr>
          <w:rFonts w:asciiTheme="majorHAnsi" w:hAnsiTheme="majorHAnsi" w:cstheme="majorHAnsi"/>
        </w:rPr>
        <w:t>.</w:t>
      </w:r>
      <w:r w:rsidR="00716024" w:rsidRPr="00716024">
        <w:rPr>
          <w:rFonts w:asciiTheme="majorHAnsi" w:hAnsiTheme="majorHAnsi" w:cstheme="majorHAnsi"/>
        </w:rPr>
        <w:t xml:space="preserve"> 6</w:t>
      </w:r>
      <w:r w:rsidR="00796DFC">
        <w:rPr>
          <w:rFonts w:asciiTheme="majorHAnsi" w:hAnsiTheme="majorHAnsi" w:cstheme="majorHAnsi"/>
        </w:rPr>
        <w:t>)</w:t>
      </w:r>
      <w:r w:rsidR="00716024" w:rsidRPr="00716024">
        <w:rPr>
          <w:rFonts w:asciiTheme="majorHAnsi" w:hAnsiTheme="majorHAnsi" w:cstheme="majorHAnsi"/>
        </w:rPr>
        <w:t xml:space="preserve">, </w:t>
      </w:r>
      <w:r w:rsidR="00E4563E" w:rsidRPr="00E4563E">
        <w:rPr>
          <w:rFonts w:asciiTheme="majorHAnsi" w:hAnsiTheme="majorHAnsi" w:cstheme="majorHAnsi"/>
        </w:rPr>
        <w:t>each spouse in a marital partnership must declare and pay income taxes independently. The income of minor children is declared by the spouse who, by court order, exercises the administration of said income. For filing and payment purposes, joint income produced by personal and/or joint property is attributed equally to each spouse. This individual taxation approach can help support female labor supply by ensuring equal treatment across diverse household types, regardless of marital status.</w:t>
      </w:r>
    </w:p>
    <w:p w14:paraId="309BA44E" w14:textId="77777777" w:rsidR="00716024" w:rsidRPr="00716024" w:rsidRDefault="00716024" w:rsidP="00290D56">
      <w:pPr>
        <w:spacing w:after="0"/>
        <w:jc w:val="both"/>
        <w:rPr>
          <w:rFonts w:asciiTheme="majorHAnsi" w:hAnsiTheme="majorHAnsi" w:cstheme="majorHAnsi"/>
        </w:rPr>
      </w:pPr>
    </w:p>
    <w:p w14:paraId="047CA4A3" w14:textId="58854F24" w:rsidR="00716024" w:rsidRDefault="00E32606" w:rsidP="00290D56">
      <w:pPr>
        <w:spacing w:after="0"/>
        <w:jc w:val="both"/>
        <w:rPr>
          <w:rFonts w:asciiTheme="majorHAnsi" w:hAnsiTheme="majorHAnsi" w:cstheme="majorHAnsi"/>
        </w:rPr>
      </w:pPr>
      <w:r w:rsidRPr="00E32606">
        <w:rPr>
          <w:rFonts w:asciiTheme="majorHAnsi" w:hAnsiTheme="majorHAnsi" w:cstheme="majorHAnsi"/>
        </w:rPr>
        <w:t xml:space="preserve">Notably, Peru does not provide tax incentives to families for childcare services or for working mothers returning to the workforce. This is particularly significant given that 40 percent of Peruvian mothers stop working immediately after having their first child. The </w:t>
      </w:r>
      <w:r w:rsidRPr="00E32606">
        <w:rPr>
          <w:rFonts w:asciiTheme="majorHAnsi" w:hAnsiTheme="majorHAnsi" w:cstheme="majorHAnsi"/>
          <w:i/>
          <w:iCs/>
        </w:rPr>
        <w:t>Ley Impuesto sobre la Renta</w:t>
      </w:r>
      <w:r w:rsidRPr="00E32606">
        <w:rPr>
          <w:rFonts w:asciiTheme="majorHAnsi" w:hAnsiTheme="majorHAnsi" w:cstheme="majorHAnsi"/>
        </w:rPr>
        <w:t xml:space="preserve"> </w:t>
      </w:r>
      <w:r>
        <w:rPr>
          <w:rFonts w:asciiTheme="majorHAnsi" w:hAnsiTheme="majorHAnsi" w:cstheme="majorHAnsi"/>
        </w:rPr>
        <w:t>(</w:t>
      </w:r>
      <w:r w:rsidRPr="00E32606">
        <w:rPr>
          <w:rFonts w:asciiTheme="majorHAnsi" w:hAnsiTheme="majorHAnsi" w:cstheme="majorHAnsi"/>
        </w:rPr>
        <w:t>Art</w:t>
      </w:r>
      <w:r>
        <w:rPr>
          <w:rFonts w:asciiTheme="majorHAnsi" w:hAnsiTheme="majorHAnsi" w:cstheme="majorHAnsi"/>
        </w:rPr>
        <w:t>.</w:t>
      </w:r>
      <w:r w:rsidRPr="00E32606">
        <w:rPr>
          <w:rFonts w:asciiTheme="majorHAnsi" w:hAnsiTheme="majorHAnsi" w:cstheme="majorHAnsi"/>
        </w:rPr>
        <w:t xml:space="preserve"> 18</w:t>
      </w:r>
      <w:r>
        <w:rPr>
          <w:rFonts w:asciiTheme="majorHAnsi" w:hAnsiTheme="majorHAnsi" w:cstheme="majorHAnsi"/>
        </w:rPr>
        <w:t>)</w:t>
      </w:r>
      <w:r w:rsidRPr="00E32606">
        <w:rPr>
          <w:rFonts w:asciiTheme="majorHAnsi" w:hAnsiTheme="majorHAnsi" w:cstheme="majorHAnsi"/>
        </w:rPr>
        <w:t>, establishes that maternity and breastfeeding allowances do not constitute taxable income. Additionally, according to Article 46 of the same law, certain healthcare expenses are considered deductible. These include expenses incurred by the taxpayer for health care that were not reimbursed by health insurance for their children under 18 years of age, children over 18 years of age with disabilities, spouse, or common-law partner. However, only 30 percent of professional fees are deductible as an expense.</w:t>
      </w:r>
    </w:p>
    <w:p w14:paraId="731A1A60" w14:textId="77777777" w:rsidR="00E32606" w:rsidRPr="00716024" w:rsidRDefault="00E32606" w:rsidP="00290D56">
      <w:pPr>
        <w:spacing w:after="0"/>
        <w:jc w:val="both"/>
        <w:rPr>
          <w:rFonts w:asciiTheme="majorHAnsi" w:hAnsiTheme="majorHAnsi" w:cstheme="majorHAnsi"/>
        </w:rPr>
      </w:pPr>
    </w:p>
    <w:p w14:paraId="3CC4B990" w14:textId="327CE09D" w:rsidR="00716024" w:rsidRPr="00716024" w:rsidRDefault="00716024" w:rsidP="00290D56">
      <w:pPr>
        <w:spacing w:after="0"/>
        <w:jc w:val="both"/>
        <w:rPr>
          <w:rFonts w:asciiTheme="majorHAnsi" w:hAnsiTheme="majorHAnsi" w:cstheme="majorHAnsi"/>
        </w:rPr>
      </w:pPr>
      <w:r w:rsidRPr="00716024">
        <w:rPr>
          <w:rFonts w:asciiTheme="majorHAnsi" w:hAnsiTheme="majorHAnsi" w:cstheme="majorHAnsi"/>
        </w:rPr>
        <w:t xml:space="preserve">Regarding property taxes, provisions in Peru do not explicitly differentiate between men and women. The </w:t>
      </w:r>
      <w:r w:rsidRPr="004F0F55">
        <w:rPr>
          <w:rFonts w:asciiTheme="majorHAnsi" w:hAnsiTheme="majorHAnsi" w:cstheme="majorHAnsi"/>
          <w:i/>
          <w:iCs/>
        </w:rPr>
        <w:t>Ley de Tributación Municipal</w:t>
      </w:r>
      <w:r w:rsidRPr="00716024">
        <w:rPr>
          <w:rFonts w:asciiTheme="majorHAnsi" w:hAnsiTheme="majorHAnsi" w:cstheme="majorHAnsi"/>
        </w:rPr>
        <w:t xml:space="preserve"> </w:t>
      </w:r>
      <w:r w:rsidR="00796DFC">
        <w:rPr>
          <w:rFonts w:asciiTheme="majorHAnsi" w:hAnsiTheme="majorHAnsi" w:cstheme="majorHAnsi"/>
        </w:rPr>
        <w:t>bases tax rates o</w:t>
      </w:r>
      <w:r w:rsidR="009B4074">
        <w:rPr>
          <w:rFonts w:asciiTheme="majorHAnsi" w:hAnsiTheme="majorHAnsi" w:cstheme="majorHAnsi"/>
        </w:rPr>
        <w:t>n</w:t>
      </w:r>
      <w:r w:rsidR="00796DFC">
        <w:rPr>
          <w:rFonts w:asciiTheme="majorHAnsi" w:hAnsiTheme="majorHAnsi" w:cstheme="majorHAnsi"/>
        </w:rPr>
        <w:t xml:space="preserve"> the</w:t>
      </w:r>
      <w:r w:rsidRPr="00716024">
        <w:rPr>
          <w:rFonts w:asciiTheme="majorHAnsi" w:hAnsiTheme="majorHAnsi" w:cstheme="majorHAnsi"/>
        </w:rPr>
        <w:t xml:space="preserve"> type and use of the property rather than the personal attributes of the owner. Property taxes are levied on formal property ownership, </w:t>
      </w:r>
      <w:r w:rsidR="009B4074">
        <w:rPr>
          <w:rFonts w:asciiTheme="majorHAnsi" w:hAnsiTheme="majorHAnsi" w:cstheme="majorHAnsi"/>
        </w:rPr>
        <w:t>with</w:t>
      </w:r>
      <w:r w:rsidRPr="00716024">
        <w:rPr>
          <w:rFonts w:asciiTheme="majorHAnsi" w:hAnsiTheme="majorHAnsi" w:cstheme="majorHAnsi"/>
        </w:rPr>
        <w:t xml:space="preserve"> the tax base </w:t>
      </w:r>
      <w:r w:rsidR="009B4074">
        <w:rPr>
          <w:rFonts w:asciiTheme="majorHAnsi" w:hAnsiTheme="majorHAnsi" w:cstheme="majorHAnsi"/>
        </w:rPr>
        <w:t>being</w:t>
      </w:r>
      <w:r w:rsidRPr="00716024">
        <w:rPr>
          <w:rFonts w:asciiTheme="majorHAnsi" w:hAnsiTheme="majorHAnsi" w:cstheme="majorHAnsi"/>
        </w:rPr>
        <w:t xml:space="preserve"> the value of the urban or rural real estate property. Tax rates range from 0.2</w:t>
      </w:r>
      <w:r w:rsidR="004F0F55">
        <w:rPr>
          <w:rFonts w:asciiTheme="majorHAnsi" w:hAnsiTheme="majorHAnsi" w:cstheme="majorHAnsi"/>
        </w:rPr>
        <w:t xml:space="preserve"> percent</w:t>
      </w:r>
      <w:r w:rsidRPr="00716024">
        <w:rPr>
          <w:rFonts w:asciiTheme="majorHAnsi" w:hAnsiTheme="majorHAnsi" w:cstheme="majorHAnsi"/>
        </w:rPr>
        <w:t xml:space="preserve"> to 1.0</w:t>
      </w:r>
      <w:r w:rsidR="004F0F55">
        <w:rPr>
          <w:rFonts w:asciiTheme="majorHAnsi" w:hAnsiTheme="majorHAnsi" w:cstheme="majorHAnsi"/>
        </w:rPr>
        <w:t xml:space="preserve"> percent</w:t>
      </w:r>
      <w:r w:rsidRPr="00716024">
        <w:rPr>
          <w:rFonts w:asciiTheme="majorHAnsi" w:hAnsiTheme="majorHAnsi" w:cstheme="majorHAnsi"/>
        </w:rPr>
        <w:t>, with higher value properties incurring higher tax rates.</w:t>
      </w:r>
    </w:p>
    <w:p w14:paraId="620F9391" w14:textId="77777777" w:rsidR="00716024" w:rsidRPr="00716024" w:rsidRDefault="00716024" w:rsidP="00290D56">
      <w:pPr>
        <w:spacing w:after="0"/>
        <w:jc w:val="both"/>
        <w:rPr>
          <w:rFonts w:asciiTheme="majorHAnsi" w:hAnsiTheme="majorHAnsi" w:cstheme="majorHAnsi"/>
        </w:rPr>
      </w:pPr>
    </w:p>
    <w:p w14:paraId="005E4B30" w14:textId="38F038D8" w:rsidR="00341ABD" w:rsidRDefault="00B8134C" w:rsidP="00290D56">
      <w:pPr>
        <w:spacing w:after="0"/>
        <w:jc w:val="both"/>
        <w:rPr>
          <w:rFonts w:asciiTheme="majorHAnsi" w:hAnsiTheme="majorHAnsi" w:cstheme="majorHAnsi"/>
        </w:rPr>
      </w:pPr>
      <w:r w:rsidRPr="00B8134C">
        <w:rPr>
          <w:rFonts w:asciiTheme="majorHAnsi" w:hAnsiTheme="majorHAnsi" w:cstheme="majorHAnsi"/>
        </w:rPr>
        <w:t>In Lima, certain tax benefits are applicable to property tax, but these are applied universally to all qualifying beneficiaries regardless of sex. For instance, there is a deduction of 50 UIT (</w:t>
      </w:r>
      <w:r w:rsidRPr="00B8134C">
        <w:rPr>
          <w:rFonts w:asciiTheme="majorHAnsi" w:hAnsiTheme="majorHAnsi" w:cstheme="majorHAnsi"/>
          <w:i/>
          <w:iCs/>
        </w:rPr>
        <w:t>unidad impositiva tributaria</w:t>
      </w:r>
      <w:r w:rsidRPr="00B8134C">
        <w:rPr>
          <w:rFonts w:asciiTheme="majorHAnsi" w:hAnsiTheme="majorHAnsi" w:cstheme="majorHAnsi"/>
        </w:rPr>
        <w:t>) to the property tax base for pensioners. This deduction applies to any person with pensioner status who owns a property. There are no gender-specific requirements to access such benefits, other than owning a single property intended as a primary residence, either in the taxpayer's name or as part of a conjugal partnership.</w:t>
      </w:r>
    </w:p>
    <w:p w14:paraId="5996561C" w14:textId="77777777" w:rsidR="002F326D" w:rsidRDefault="002F326D" w:rsidP="00290D56">
      <w:pPr>
        <w:spacing w:after="0"/>
        <w:jc w:val="both"/>
        <w:rPr>
          <w:rFonts w:asciiTheme="majorHAnsi" w:eastAsiaTheme="majorEastAsia" w:hAnsiTheme="majorHAnsi" w:cstheme="majorBidi"/>
          <w:color w:val="2F5496" w:themeColor="accent1" w:themeShade="BF"/>
          <w:sz w:val="32"/>
          <w:szCs w:val="32"/>
        </w:rPr>
      </w:pPr>
    </w:p>
    <w:p w14:paraId="6144DF56" w14:textId="74B9361F" w:rsidR="001205F9" w:rsidRPr="001205F9" w:rsidRDefault="001205F9" w:rsidP="00290D56">
      <w:pPr>
        <w:pStyle w:val="Heading1"/>
        <w:spacing w:before="0"/>
      </w:pPr>
      <w:r w:rsidRPr="001205F9">
        <w:t>Methodology</w:t>
      </w:r>
    </w:p>
    <w:p w14:paraId="2A38C507" w14:textId="77777777" w:rsidR="001205F9" w:rsidRPr="001205F9" w:rsidRDefault="001205F9" w:rsidP="00290D56">
      <w:pPr>
        <w:spacing w:after="0"/>
        <w:jc w:val="both"/>
        <w:rPr>
          <w:rFonts w:asciiTheme="majorHAnsi" w:hAnsiTheme="majorHAnsi" w:cstheme="majorHAnsi"/>
        </w:rPr>
      </w:pPr>
    </w:p>
    <w:p w14:paraId="69EBBCF1" w14:textId="4D2CF4F7" w:rsidR="00AD1052" w:rsidRDefault="00E65C60" w:rsidP="00290D56">
      <w:pPr>
        <w:spacing w:after="0"/>
        <w:jc w:val="both"/>
        <w:rPr>
          <w:rFonts w:asciiTheme="majorHAnsi" w:hAnsiTheme="majorHAnsi" w:cstheme="majorHAnsi"/>
        </w:rPr>
      </w:pPr>
      <w:r w:rsidRPr="00E65C60">
        <w:rPr>
          <w:rFonts w:asciiTheme="majorHAnsi" w:hAnsiTheme="majorHAnsi" w:cstheme="majorHAnsi"/>
        </w:rPr>
        <w:t xml:space="preserve">This study employs the Commitment to Equity (CEQ) methodology to evaluate the differential impacts of fiscal policy on men and women in Peru. The CEQ approach categorizes several pre- and post-fiscal income concepts to measure how different fiscal tools impact poverty and inequality </w:t>
      </w:r>
      <w:r w:rsidR="00B05EBF">
        <w:rPr>
          <w:rFonts w:asciiTheme="majorHAnsi" w:hAnsiTheme="majorHAnsi" w:cstheme="majorHAnsi"/>
        </w:rPr>
        <w:t>(</w:t>
      </w:r>
      <w:r w:rsidR="00D1665B">
        <w:rPr>
          <w:rFonts w:asciiTheme="majorHAnsi" w:hAnsiTheme="majorHAnsi" w:cstheme="majorHAnsi"/>
        </w:rPr>
        <w:fldChar w:fldCharType="begin"/>
      </w:r>
      <w:r w:rsidR="00D1665B">
        <w:rPr>
          <w:rFonts w:asciiTheme="majorHAnsi" w:hAnsiTheme="majorHAnsi" w:cstheme="majorHAnsi"/>
        </w:rPr>
        <w:instrText xml:space="preserve"> REF _Ref177021354 \h  \* MERGEFORMAT </w:instrText>
      </w:r>
      <w:r w:rsidR="00D1665B">
        <w:rPr>
          <w:rFonts w:asciiTheme="majorHAnsi" w:hAnsiTheme="majorHAnsi" w:cstheme="majorHAnsi"/>
        </w:rPr>
      </w:r>
      <w:r w:rsidR="00D1665B">
        <w:rPr>
          <w:rFonts w:asciiTheme="majorHAnsi" w:hAnsiTheme="majorHAnsi" w:cstheme="majorHAnsi"/>
        </w:rPr>
        <w:fldChar w:fldCharType="separate"/>
      </w:r>
      <w:r w:rsidR="00B71781" w:rsidRPr="00B71781">
        <w:rPr>
          <w:rFonts w:asciiTheme="majorHAnsi" w:hAnsiTheme="majorHAnsi" w:cstheme="majorHAnsi"/>
        </w:rPr>
        <w:t>Figure 4</w:t>
      </w:r>
      <w:r w:rsidR="00D1665B">
        <w:rPr>
          <w:rFonts w:asciiTheme="majorHAnsi" w:hAnsiTheme="majorHAnsi" w:cstheme="majorHAnsi"/>
        </w:rPr>
        <w:fldChar w:fldCharType="end"/>
      </w:r>
      <w:r w:rsidR="00D1665B">
        <w:rPr>
          <w:rFonts w:asciiTheme="majorHAnsi" w:hAnsiTheme="majorHAnsi" w:cstheme="majorHAnsi"/>
        </w:rPr>
        <w:t>)</w:t>
      </w:r>
      <w:r w:rsidR="00B05EBF">
        <w:rPr>
          <w:rFonts w:asciiTheme="majorHAnsi" w:hAnsiTheme="majorHAnsi" w:cstheme="majorHAnsi"/>
        </w:rPr>
        <w:t>.</w:t>
      </w:r>
      <w:r w:rsidR="00C749F2">
        <w:rPr>
          <w:rFonts w:asciiTheme="majorHAnsi" w:hAnsiTheme="majorHAnsi" w:cstheme="majorHAnsi"/>
        </w:rPr>
        <w:t xml:space="preserve"> </w:t>
      </w:r>
      <w:r w:rsidR="00AD1052" w:rsidRPr="00AD1052">
        <w:rPr>
          <w:rFonts w:asciiTheme="majorHAnsi" w:hAnsiTheme="majorHAnsi" w:cstheme="majorHAnsi"/>
        </w:rPr>
        <w:t>The analysis identifies which households are most affected by direct and indirect taxes, and which benefit significantly from public transfers and subsidies. This enables a comprehensive assessment of the net impact of the fiscal system across the income distribution, highlighting the fiscal instruments most effective for poverty and inequality reduction.</w:t>
      </w:r>
      <w:r w:rsidR="00AD1052">
        <w:rPr>
          <w:rFonts w:asciiTheme="majorHAnsi" w:hAnsiTheme="majorHAnsi" w:cstheme="majorHAnsi"/>
        </w:rPr>
        <w:t xml:space="preserve"> </w:t>
      </w:r>
    </w:p>
    <w:p w14:paraId="46B41676" w14:textId="77777777" w:rsidR="00AD1052" w:rsidRDefault="00AD1052" w:rsidP="00290D56">
      <w:pPr>
        <w:spacing w:after="0"/>
        <w:jc w:val="both"/>
        <w:rPr>
          <w:rFonts w:asciiTheme="majorHAnsi" w:hAnsiTheme="majorHAnsi" w:cstheme="majorHAnsi"/>
        </w:rPr>
      </w:pPr>
    </w:p>
    <w:p w14:paraId="479E5305" w14:textId="3C50F01F" w:rsidR="00202149" w:rsidRDefault="00AD1052" w:rsidP="00290D56">
      <w:pPr>
        <w:spacing w:after="0"/>
        <w:jc w:val="both"/>
        <w:rPr>
          <w:rFonts w:asciiTheme="majorHAnsi" w:hAnsiTheme="majorHAnsi" w:cstheme="majorHAnsi"/>
        </w:rPr>
      </w:pPr>
      <w:r w:rsidRPr="00AD1052">
        <w:rPr>
          <w:rFonts w:asciiTheme="majorHAnsi" w:hAnsiTheme="majorHAnsi" w:cstheme="majorHAnsi"/>
        </w:rPr>
        <w:lastRenderedPageBreak/>
        <w:t>The CEQ methodology is particularly effective for maximizing the fiscal impact on poverty and inequality with minimal fiscal cost, as well as for simulating the implementation of new policy reforms with minimal impact on poor and vulnerable households. This study draws from the 2019 national household survey (ENAHO), conducted annually by the national statistics office (INEI), which contains detailed information on individual and household sociodemographic characteristics, education, health, employment, labor and nonlabor income, and household consumption.</w:t>
      </w:r>
    </w:p>
    <w:p w14:paraId="79997D8A" w14:textId="77777777" w:rsidR="00AD1052" w:rsidRDefault="00AD1052" w:rsidP="00290D56">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7043"/>
      </w:tblGrid>
      <w:tr w:rsidR="00AD1052" w14:paraId="7B5CD0D6" w14:textId="77777777" w:rsidTr="007D6783">
        <w:trPr>
          <w:trHeight w:val="377"/>
        </w:trPr>
        <w:tc>
          <w:tcPr>
            <w:tcW w:w="7043" w:type="dxa"/>
          </w:tcPr>
          <w:p w14:paraId="59F3DC71" w14:textId="03536E68" w:rsidR="00AD1052" w:rsidRPr="00AD1052" w:rsidRDefault="00AD1052" w:rsidP="00AD1052">
            <w:pPr>
              <w:rPr>
                <w:rFonts w:asciiTheme="majorHAnsi" w:hAnsiTheme="majorHAnsi" w:cstheme="majorHAnsi"/>
                <w:sz w:val="20"/>
                <w:szCs w:val="20"/>
              </w:rPr>
            </w:pPr>
            <w:bookmarkStart w:id="3" w:name="_Ref177021354"/>
            <w:bookmarkStart w:id="4" w:name="_Ref174006580"/>
            <w:r w:rsidRPr="00AD1052">
              <w:rPr>
                <w:rFonts w:asciiTheme="majorHAnsi" w:hAnsiTheme="majorHAnsi" w:cstheme="majorHAnsi"/>
                <w:sz w:val="20"/>
                <w:szCs w:val="20"/>
              </w:rPr>
              <w:t xml:space="preserve">Figure </w:t>
            </w:r>
            <w:r w:rsidRPr="00AD1052">
              <w:rPr>
                <w:rFonts w:asciiTheme="majorHAnsi" w:hAnsiTheme="majorHAnsi" w:cstheme="majorHAnsi"/>
                <w:sz w:val="20"/>
                <w:szCs w:val="20"/>
              </w:rPr>
              <w:fldChar w:fldCharType="begin"/>
            </w:r>
            <w:r w:rsidRPr="00AD1052">
              <w:rPr>
                <w:rFonts w:asciiTheme="majorHAnsi" w:hAnsiTheme="majorHAnsi" w:cstheme="majorHAnsi"/>
                <w:sz w:val="20"/>
                <w:szCs w:val="20"/>
              </w:rPr>
              <w:instrText xml:space="preserve"> SEQ Figure \* ARABIC </w:instrText>
            </w:r>
            <w:r w:rsidRPr="00AD1052">
              <w:rPr>
                <w:rFonts w:asciiTheme="majorHAnsi" w:hAnsiTheme="majorHAnsi" w:cstheme="majorHAnsi"/>
                <w:sz w:val="20"/>
                <w:szCs w:val="20"/>
              </w:rPr>
              <w:fldChar w:fldCharType="separate"/>
            </w:r>
            <w:r w:rsidR="00B71781">
              <w:rPr>
                <w:rFonts w:asciiTheme="majorHAnsi" w:hAnsiTheme="majorHAnsi" w:cstheme="majorHAnsi"/>
                <w:noProof/>
                <w:sz w:val="20"/>
                <w:szCs w:val="20"/>
              </w:rPr>
              <w:t>4</w:t>
            </w:r>
            <w:r w:rsidRPr="00AD1052">
              <w:rPr>
                <w:rFonts w:asciiTheme="majorHAnsi" w:hAnsiTheme="majorHAnsi" w:cstheme="majorHAnsi"/>
                <w:sz w:val="20"/>
                <w:szCs w:val="20"/>
              </w:rPr>
              <w:fldChar w:fldCharType="end"/>
            </w:r>
            <w:bookmarkEnd w:id="3"/>
            <w:r w:rsidRPr="00AD1052">
              <w:rPr>
                <w:rFonts w:asciiTheme="majorHAnsi" w:hAnsiTheme="majorHAnsi" w:cstheme="majorHAnsi"/>
                <w:sz w:val="20"/>
                <w:szCs w:val="20"/>
              </w:rPr>
              <w:t>. CEQ Income concepts</w:t>
            </w:r>
            <w:bookmarkEnd w:id="4"/>
          </w:p>
        </w:tc>
      </w:tr>
      <w:tr w:rsidR="00AD1052" w14:paraId="39DF312F" w14:textId="77777777" w:rsidTr="00AD1052">
        <w:trPr>
          <w:trHeight w:val="4100"/>
        </w:trPr>
        <w:tc>
          <w:tcPr>
            <w:tcW w:w="7043" w:type="dxa"/>
          </w:tcPr>
          <w:p w14:paraId="23D0C187" w14:textId="77777777" w:rsidR="00AD1052" w:rsidRDefault="00AD1052" w:rsidP="00AD1052">
            <w:pPr>
              <w:jc w:val="center"/>
              <w:rPr>
                <w:rFonts w:asciiTheme="majorHAnsi" w:hAnsiTheme="majorHAnsi" w:cstheme="majorHAnsi"/>
              </w:rPr>
            </w:pPr>
          </w:p>
          <w:p w14:paraId="3E231118" w14:textId="77777777" w:rsidR="00AD1052" w:rsidRDefault="00AD1052" w:rsidP="00AD1052">
            <w:pPr>
              <w:jc w:val="center"/>
              <w:rPr>
                <w:rFonts w:asciiTheme="majorHAnsi" w:hAnsiTheme="majorHAnsi" w:cstheme="majorHAnsi"/>
              </w:rPr>
            </w:pPr>
            <w:r>
              <w:rPr>
                <w:noProof/>
              </w:rPr>
              <w:drawing>
                <wp:inline distT="0" distB="0" distL="0" distR="0" wp14:anchorId="4E090C31" wp14:editId="4C2581E0">
                  <wp:extent cx="2831556" cy="2585116"/>
                  <wp:effectExtent l="0" t="0" r="698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39546" cy="2592411"/>
                          </a:xfrm>
                          <a:prstGeom prst="rect">
                            <a:avLst/>
                          </a:prstGeom>
                        </pic:spPr>
                      </pic:pic>
                    </a:graphicData>
                  </a:graphic>
                </wp:inline>
              </w:drawing>
            </w:r>
          </w:p>
          <w:p w14:paraId="32C49043" w14:textId="389E1678" w:rsidR="00AD1052" w:rsidRDefault="00AD1052" w:rsidP="00AD1052">
            <w:pPr>
              <w:jc w:val="center"/>
              <w:rPr>
                <w:rFonts w:asciiTheme="majorHAnsi" w:hAnsiTheme="majorHAnsi" w:cstheme="majorHAnsi"/>
              </w:rPr>
            </w:pPr>
          </w:p>
        </w:tc>
      </w:tr>
      <w:tr w:rsidR="00AD1052" w14:paraId="28EBEF5E" w14:textId="77777777" w:rsidTr="00AD1052">
        <w:trPr>
          <w:trHeight w:val="476"/>
        </w:trPr>
        <w:tc>
          <w:tcPr>
            <w:tcW w:w="7043" w:type="dxa"/>
          </w:tcPr>
          <w:p w14:paraId="426E9F8E" w14:textId="17C53C28" w:rsidR="00AD1052" w:rsidRPr="00AD1052" w:rsidRDefault="00AD1052" w:rsidP="00D03155">
            <w:pPr>
              <w:jc w:val="both"/>
              <w:rPr>
                <w:rFonts w:asciiTheme="majorHAnsi" w:hAnsiTheme="majorHAnsi" w:cstheme="majorHAnsi"/>
                <w:sz w:val="20"/>
                <w:szCs w:val="20"/>
              </w:rPr>
            </w:pPr>
            <w:r w:rsidRPr="00202149">
              <w:rPr>
                <w:rFonts w:asciiTheme="majorHAnsi" w:hAnsiTheme="majorHAnsi" w:cstheme="majorHAnsi"/>
                <w:i/>
                <w:iCs/>
                <w:sz w:val="20"/>
                <w:szCs w:val="20"/>
              </w:rPr>
              <w:t>Source</w:t>
            </w:r>
            <w:r w:rsidRPr="00202149">
              <w:rPr>
                <w:rFonts w:asciiTheme="majorHAnsi" w:hAnsiTheme="majorHAnsi" w:cstheme="majorHAnsi"/>
                <w:sz w:val="20"/>
                <w:szCs w:val="20"/>
              </w:rPr>
              <w:t>: Nora Lustig, editor. (2018) CEQ Handbook: Estimating the Impact of Fiscal Policy on Inequality and Poverty. Washington, DC: Brookings Institution Press and CEQ Institute</w:t>
            </w:r>
          </w:p>
        </w:tc>
      </w:tr>
    </w:tbl>
    <w:p w14:paraId="4038A7DD" w14:textId="77777777" w:rsidR="00AD1052" w:rsidRDefault="00AD1052" w:rsidP="00D03155">
      <w:pPr>
        <w:spacing w:after="0"/>
        <w:jc w:val="both"/>
        <w:rPr>
          <w:rFonts w:asciiTheme="majorHAnsi" w:hAnsiTheme="majorHAnsi" w:cstheme="majorHAnsi"/>
        </w:rPr>
      </w:pPr>
    </w:p>
    <w:p w14:paraId="29265BC7" w14:textId="22ED1F96" w:rsidR="008C5411" w:rsidRDefault="00651656" w:rsidP="007C7530">
      <w:pPr>
        <w:spacing w:after="0"/>
        <w:jc w:val="both"/>
        <w:rPr>
          <w:rFonts w:asciiTheme="majorHAnsi" w:hAnsiTheme="majorHAnsi" w:cstheme="majorHAnsi"/>
          <w:bCs/>
        </w:rPr>
      </w:pPr>
      <w:r w:rsidRPr="00651656">
        <w:rPr>
          <w:rFonts w:asciiTheme="majorHAnsi" w:hAnsiTheme="majorHAnsi" w:cstheme="majorHAnsi"/>
          <w:bCs/>
        </w:rPr>
        <w:t>While the CEQ approach shares limitations inherent in any standard fiscal incidence analysis, it offers a sound estimate of short-term welfare effects. The methodology does not account for all taxes and public expenditure, as it heavily relies on the quality of survey data. It excludes elements such as corporate taxation and infrastructure spending. Similarly, the analysis often fails to accurately capture the upper tail of the income distribution, as household surveys typically have low coverage of the wealthy population, which may result in an underestimation of inequality.</w:t>
      </w:r>
      <w:r w:rsidR="00656BCE" w:rsidRPr="00656BCE">
        <w:t xml:space="preserve"> </w:t>
      </w:r>
      <w:r w:rsidR="00656BCE" w:rsidRPr="00656BCE">
        <w:rPr>
          <w:rFonts w:asciiTheme="majorHAnsi" w:hAnsiTheme="majorHAnsi" w:cstheme="majorHAnsi"/>
          <w:bCs/>
        </w:rPr>
        <w:t>The CEQ approach provides a static analysis, omitting behavioral, general equilibrium, and intertemporal effects. Nonetheless, to the extent that these effects often take time to materialize, the CEQ analysis remains a robust measure of the short-term impact of the fiscal system. Furthermore, the methodology's standardized and consistent assumptions make it particularly valuable for comparisons across countries and time.</w:t>
      </w:r>
    </w:p>
    <w:p w14:paraId="00A3EBBF" w14:textId="77777777" w:rsidR="00651656" w:rsidRPr="00656BCE" w:rsidRDefault="00651656" w:rsidP="007C7530">
      <w:pPr>
        <w:spacing w:after="0"/>
        <w:jc w:val="both"/>
        <w:rPr>
          <w:rFonts w:asciiTheme="majorHAnsi" w:hAnsiTheme="majorHAnsi" w:cstheme="majorHAnsi"/>
        </w:rPr>
      </w:pPr>
    </w:p>
    <w:p w14:paraId="2A38B83D" w14:textId="77777777" w:rsidR="00656BCE" w:rsidRPr="00656BCE" w:rsidRDefault="00656BCE" w:rsidP="00656BCE">
      <w:pPr>
        <w:spacing w:after="0"/>
        <w:jc w:val="both"/>
        <w:rPr>
          <w:rFonts w:asciiTheme="majorHAnsi" w:hAnsiTheme="majorHAnsi" w:cstheme="majorHAnsi"/>
        </w:rPr>
      </w:pPr>
      <w:r w:rsidRPr="00656BCE">
        <w:rPr>
          <w:rFonts w:asciiTheme="majorHAnsi" w:hAnsiTheme="majorHAnsi" w:cstheme="majorHAnsi"/>
        </w:rPr>
        <w:t xml:space="preserve">The Engendered CEQ (E-CEQ) extends the CEQ methodology to examine how the fiscal system affects different household typologies, constructed to identify characteristics linked to potential gender disparities and intra-household dynamics. Due to the lack of budget and fiscal data disaggregated at the individual level, standard fiscal incidence analyses typically assume that the burdens and benefits of the fiscal system </w:t>
      </w:r>
      <w:r w:rsidRPr="00656BCE">
        <w:rPr>
          <w:rFonts w:asciiTheme="majorHAnsi" w:hAnsiTheme="majorHAnsi" w:cstheme="majorHAnsi"/>
        </w:rPr>
        <w:lastRenderedPageBreak/>
        <w:t>are equally distributed among all household members. However, this assumption overlooks the fact that, even though fiscal rules may be the same for men and women, their practical impact can differ significantly.</w:t>
      </w:r>
    </w:p>
    <w:p w14:paraId="3285EC99" w14:textId="5D00BAE0" w:rsidR="00002961" w:rsidRPr="00656BCE" w:rsidRDefault="00656BCE" w:rsidP="00041B82">
      <w:pPr>
        <w:spacing w:after="0"/>
        <w:jc w:val="both"/>
        <w:rPr>
          <w:rFonts w:asciiTheme="majorHAnsi" w:hAnsiTheme="majorHAnsi" w:cstheme="majorHAnsi"/>
        </w:rPr>
      </w:pPr>
      <w:r w:rsidRPr="00656BCE">
        <w:rPr>
          <w:rFonts w:asciiTheme="majorHAnsi" w:hAnsiTheme="majorHAnsi" w:cstheme="majorHAnsi"/>
        </w:rPr>
        <w:t>The E-CEQ aims to quantify the differential impact of the fiscal system on men and women by identifying household typologies that can best capture the distinct intra-household dynamics experienced by each gender. This approach recognizes that fiscal policies can influence labor force participation incentives, household bargaining power, and decisions related to human capital accumulation and consumption patterns differently for men and women within a household.</w:t>
      </w:r>
    </w:p>
    <w:p w14:paraId="4F0A014E" w14:textId="77777777" w:rsidR="00656BCE" w:rsidRDefault="00656BCE" w:rsidP="00041B82">
      <w:pPr>
        <w:spacing w:after="0"/>
        <w:jc w:val="both"/>
        <w:rPr>
          <w:rFonts w:asciiTheme="majorHAnsi" w:hAnsiTheme="majorHAnsi" w:cstheme="majorHAnsi"/>
        </w:rPr>
      </w:pPr>
    </w:p>
    <w:p w14:paraId="303B79D3" w14:textId="7982E6DB" w:rsidR="00540C00" w:rsidRDefault="00D90C47" w:rsidP="00041B82">
      <w:pPr>
        <w:pStyle w:val="Heading2"/>
        <w:spacing w:before="0"/>
      </w:pPr>
      <w:r w:rsidRPr="00D90C47">
        <w:t>Overview of fiscal interventions</w:t>
      </w:r>
    </w:p>
    <w:p w14:paraId="0B84AD20" w14:textId="77777777" w:rsidR="00182274" w:rsidRDefault="00182274" w:rsidP="00041B82">
      <w:pPr>
        <w:spacing w:after="0"/>
      </w:pPr>
    </w:p>
    <w:p w14:paraId="3AE4D841" w14:textId="4DE95EDA" w:rsidR="00A7468A" w:rsidRPr="00A7468A" w:rsidRDefault="00A7468A" w:rsidP="00041B82">
      <w:pPr>
        <w:spacing w:after="0"/>
        <w:jc w:val="both"/>
        <w:rPr>
          <w:rFonts w:asciiTheme="majorHAnsi" w:hAnsiTheme="majorHAnsi" w:cstheme="majorHAnsi"/>
        </w:rPr>
      </w:pPr>
      <w:r w:rsidRPr="00A7468A">
        <w:rPr>
          <w:rFonts w:asciiTheme="majorHAnsi" w:hAnsiTheme="majorHAnsi" w:cstheme="majorHAnsi"/>
        </w:rPr>
        <w:t>The CEQ analysis in Peru encompasses a wide range of fiscal interventions, categorized into four main groups: direct taxes, indirect taxes, government transfers and social assistance programs, and in-kind benefits. Direct taxes primarily include personal income tax, rent tax, capital income tax, and property tax, all of which are levied on households. Indirect taxes consist of value-added taxes (IGV) and excise taxes (ISC), which together form a significant portion of Peru's tax revenue. Government transfers and social assistance programs comprise both cash transfers (such as JUNTOS and Pensión 65) and non-monetary assistance (like Qaliwarma and Cuna Más), aimed at supporting vulnerable populations. Lastly, in-kind benefits cover public education and health services, providing essential social services to the population. Each of these interventions plays a crucial role in shaping the overall impact of Peru's fiscal system on poverty, inequality, and gender disparities.</w:t>
      </w:r>
      <w:r w:rsidR="00AD36CC">
        <w:rPr>
          <w:rFonts w:asciiTheme="majorHAnsi" w:hAnsiTheme="majorHAnsi" w:cstheme="majorHAnsi"/>
        </w:rPr>
        <w:t xml:space="preserve"> Below a more detailed description of each intervention. </w:t>
      </w:r>
    </w:p>
    <w:p w14:paraId="4A279747" w14:textId="77777777" w:rsidR="00A7468A" w:rsidRPr="00182274" w:rsidRDefault="00A7468A" w:rsidP="00041B82">
      <w:pPr>
        <w:spacing w:after="0"/>
      </w:pPr>
    </w:p>
    <w:p w14:paraId="68E70942" w14:textId="4B2353F9" w:rsidR="001025A3" w:rsidRDefault="003D1B7C" w:rsidP="00041B82">
      <w:pPr>
        <w:pStyle w:val="Heading3"/>
        <w:spacing w:before="0"/>
      </w:pPr>
      <w:r>
        <w:t>Direct taxes</w:t>
      </w:r>
    </w:p>
    <w:p w14:paraId="045C0CF7" w14:textId="77777777" w:rsidR="00182274" w:rsidRPr="00182274" w:rsidRDefault="00182274" w:rsidP="00041B82">
      <w:pPr>
        <w:spacing w:after="0"/>
      </w:pPr>
    </w:p>
    <w:p w14:paraId="30448B94" w14:textId="4488264E" w:rsidR="00015CCD" w:rsidRPr="00015CCD" w:rsidRDefault="00182274" w:rsidP="00041B82">
      <w:pPr>
        <w:spacing w:after="0"/>
        <w:jc w:val="both"/>
        <w:rPr>
          <w:rFonts w:asciiTheme="majorHAnsi" w:hAnsiTheme="majorHAnsi" w:cstheme="majorHAnsi"/>
        </w:rPr>
      </w:pPr>
      <w:r w:rsidRPr="00182274">
        <w:rPr>
          <w:rFonts w:asciiTheme="majorHAnsi" w:hAnsiTheme="majorHAnsi" w:cstheme="majorHAnsi"/>
        </w:rPr>
        <w:t>In 2019, direct taxes represented 5.7 percent of GDP and nearly 40 percent of total tax revenue collection. This study focuses on taxes levied on households, excluding corporate income taxes. The analyzed direct taxes represent 46 percent of total direct tax collection nationwide.</w:t>
      </w:r>
      <w:r w:rsidR="00015CCD" w:rsidRPr="00015CCD">
        <w:t xml:space="preserve"> </w:t>
      </w:r>
      <w:r w:rsidR="00015CCD" w:rsidRPr="00015CCD">
        <w:rPr>
          <w:rFonts w:asciiTheme="majorHAnsi" w:hAnsiTheme="majorHAnsi" w:cstheme="majorHAnsi"/>
        </w:rPr>
        <w:t>Key direct taxes include:</w:t>
      </w:r>
    </w:p>
    <w:p w14:paraId="50AB8122" w14:textId="77777777" w:rsidR="00015CCD" w:rsidRPr="00015CCD" w:rsidRDefault="00015CCD" w:rsidP="00041B82">
      <w:pPr>
        <w:spacing w:after="0"/>
        <w:jc w:val="both"/>
        <w:rPr>
          <w:rFonts w:asciiTheme="majorHAnsi" w:hAnsiTheme="majorHAnsi" w:cstheme="majorHAnsi"/>
        </w:rPr>
      </w:pPr>
    </w:p>
    <w:p w14:paraId="4A4C3FB6" w14:textId="77777777" w:rsidR="008C541E" w:rsidRPr="008C541E" w:rsidRDefault="008C541E" w:rsidP="00B10520">
      <w:pPr>
        <w:pStyle w:val="ListParagraph"/>
        <w:numPr>
          <w:ilvl w:val="0"/>
          <w:numId w:val="6"/>
        </w:numPr>
        <w:spacing w:after="0"/>
        <w:jc w:val="both"/>
        <w:rPr>
          <w:rFonts w:asciiTheme="majorHAnsi" w:hAnsiTheme="majorHAnsi" w:cstheme="majorHAnsi"/>
        </w:rPr>
      </w:pPr>
      <w:r w:rsidRPr="008C541E">
        <w:rPr>
          <w:rFonts w:asciiTheme="majorHAnsi" w:hAnsiTheme="majorHAnsi" w:cstheme="majorHAnsi"/>
        </w:rPr>
        <w:t>Personal Income Tax (PIT): Structured into five progressive brackets with rates of 8, 14, 17, 20, and 30 percent. Annual labor income below 7 tax units (PEN 29,400, approximately USD 8,800) is exempt. This threshold is over 2.5 times the 2019 annualized minimum wage and more than 50 percent higher than the average annual labor income in urban areas. According to the National Superintendency of Tax Administration (SUNAT), nearly 80 percent of taxpayers do not have sufficient earnings to start paying the PIT.</w:t>
      </w:r>
    </w:p>
    <w:p w14:paraId="6A351323" w14:textId="77777777" w:rsidR="008C541E" w:rsidRPr="008C541E" w:rsidRDefault="008C541E" w:rsidP="00B10520">
      <w:pPr>
        <w:pStyle w:val="ListParagraph"/>
        <w:numPr>
          <w:ilvl w:val="0"/>
          <w:numId w:val="6"/>
        </w:numPr>
        <w:spacing w:after="0"/>
        <w:jc w:val="both"/>
        <w:rPr>
          <w:rFonts w:asciiTheme="majorHAnsi" w:hAnsiTheme="majorHAnsi" w:cstheme="majorHAnsi"/>
        </w:rPr>
      </w:pPr>
      <w:r w:rsidRPr="008C541E">
        <w:rPr>
          <w:rFonts w:asciiTheme="majorHAnsi" w:hAnsiTheme="majorHAnsi" w:cstheme="majorHAnsi"/>
        </w:rPr>
        <w:t>Rent Tax and Capital Income Tax: Flat rate of 5 percent on income from leasing, subleasing, or assignment of goods, and capital income.</w:t>
      </w:r>
    </w:p>
    <w:p w14:paraId="42D228F1" w14:textId="112C26BF" w:rsidR="00182274" w:rsidRPr="008C541E" w:rsidRDefault="008C541E" w:rsidP="00B10520">
      <w:pPr>
        <w:pStyle w:val="ListParagraph"/>
        <w:numPr>
          <w:ilvl w:val="0"/>
          <w:numId w:val="6"/>
        </w:numPr>
        <w:spacing w:after="0"/>
        <w:jc w:val="both"/>
        <w:rPr>
          <w:rFonts w:asciiTheme="majorHAnsi" w:hAnsiTheme="majorHAnsi" w:cstheme="majorHAnsi"/>
        </w:rPr>
      </w:pPr>
      <w:r w:rsidRPr="008C541E">
        <w:rPr>
          <w:rFonts w:asciiTheme="majorHAnsi" w:hAnsiTheme="majorHAnsi" w:cstheme="majorHAnsi"/>
        </w:rPr>
        <w:t>Property Tax: Levied on urban and rural properties, with progressive brackets based on declared property value (rates: 0.2, 0.6, and 1 percent).</w:t>
      </w:r>
    </w:p>
    <w:p w14:paraId="2BE51AF2" w14:textId="77777777" w:rsidR="008C541E" w:rsidRDefault="008C541E" w:rsidP="00041B82">
      <w:pPr>
        <w:spacing w:after="0"/>
        <w:jc w:val="both"/>
        <w:rPr>
          <w:rFonts w:asciiTheme="majorHAnsi" w:hAnsiTheme="majorHAnsi" w:cstheme="majorHAnsi"/>
        </w:rPr>
      </w:pPr>
    </w:p>
    <w:p w14:paraId="3F5D6E31" w14:textId="20606CFC" w:rsidR="004B2C3E" w:rsidRDefault="00212687" w:rsidP="00041B82">
      <w:pPr>
        <w:spacing w:after="0"/>
        <w:jc w:val="both"/>
        <w:rPr>
          <w:rFonts w:asciiTheme="majorHAnsi" w:hAnsiTheme="majorHAnsi" w:cstheme="majorHAnsi"/>
        </w:rPr>
      </w:pPr>
      <w:r>
        <w:rPr>
          <w:rFonts w:asciiTheme="majorHAnsi" w:hAnsiTheme="majorHAnsi" w:cstheme="majorHAnsi"/>
        </w:rPr>
        <w:t xml:space="preserve">In the </w:t>
      </w:r>
      <w:r w:rsidR="00CA395E">
        <w:rPr>
          <w:rFonts w:asciiTheme="majorHAnsi" w:hAnsiTheme="majorHAnsi" w:cstheme="majorHAnsi"/>
        </w:rPr>
        <w:t>analysis</w:t>
      </w:r>
      <w:r>
        <w:rPr>
          <w:rFonts w:asciiTheme="majorHAnsi" w:hAnsiTheme="majorHAnsi" w:cstheme="majorHAnsi"/>
        </w:rPr>
        <w:t xml:space="preserve">, the PIT is estimated </w:t>
      </w:r>
      <w:r w:rsidR="009D0AF8">
        <w:rPr>
          <w:rFonts w:asciiTheme="majorHAnsi" w:hAnsiTheme="majorHAnsi" w:cstheme="majorHAnsi"/>
        </w:rPr>
        <w:t>by</w:t>
      </w:r>
      <w:r>
        <w:rPr>
          <w:rFonts w:asciiTheme="majorHAnsi" w:hAnsiTheme="majorHAnsi" w:cstheme="majorHAnsi"/>
        </w:rPr>
        <w:t xml:space="preserve"> imput</w:t>
      </w:r>
      <w:r w:rsidR="009D0AF8">
        <w:rPr>
          <w:rFonts w:asciiTheme="majorHAnsi" w:hAnsiTheme="majorHAnsi" w:cstheme="majorHAnsi"/>
        </w:rPr>
        <w:t>ing</w:t>
      </w:r>
      <w:r>
        <w:rPr>
          <w:rFonts w:asciiTheme="majorHAnsi" w:hAnsiTheme="majorHAnsi" w:cstheme="majorHAnsi"/>
        </w:rPr>
        <w:t xml:space="preserve"> th</w:t>
      </w:r>
      <w:r w:rsidR="00CA395E">
        <w:rPr>
          <w:rFonts w:asciiTheme="majorHAnsi" w:hAnsiTheme="majorHAnsi" w:cstheme="majorHAnsi"/>
        </w:rPr>
        <w:t xml:space="preserve">e </w:t>
      </w:r>
      <w:r w:rsidR="00CA395E" w:rsidRPr="00FB5989">
        <w:rPr>
          <w:rFonts w:asciiTheme="majorHAnsi" w:hAnsiTheme="majorHAnsi" w:cstheme="majorHAnsi"/>
          <w:i/>
          <w:iCs/>
        </w:rPr>
        <w:t>De Jure</w:t>
      </w:r>
      <w:r w:rsidR="00CA395E">
        <w:rPr>
          <w:rFonts w:asciiTheme="majorHAnsi" w:hAnsiTheme="majorHAnsi" w:cstheme="majorHAnsi"/>
        </w:rPr>
        <w:t xml:space="preserve"> system described here</w:t>
      </w:r>
      <w:r w:rsidR="009D0AF8">
        <w:rPr>
          <w:rFonts w:asciiTheme="majorHAnsi" w:hAnsiTheme="majorHAnsi" w:cstheme="majorHAnsi"/>
        </w:rPr>
        <w:t>, using</w:t>
      </w:r>
      <w:r w:rsidR="00CA395E">
        <w:rPr>
          <w:rFonts w:asciiTheme="majorHAnsi" w:hAnsiTheme="majorHAnsi" w:cstheme="majorHAnsi"/>
        </w:rPr>
        <w:t xml:space="preserve"> the reported labor income from main and secondary jobs.</w:t>
      </w:r>
      <w:r w:rsidR="00FB5989">
        <w:rPr>
          <w:rFonts w:asciiTheme="majorHAnsi" w:hAnsiTheme="majorHAnsi" w:cstheme="majorHAnsi"/>
        </w:rPr>
        <w:t xml:space="preserve"> </w:t>
      </w:r>
      <w:r w:rsidR="00526D80">
        <w:rPr>
          <w:rFonts w:asciiTheme="majorHAnsi" w:hAnsiTheme="majorHAnsi" w:cstheme="majorHAnsi"/>
        </w:rPr>
        <w:t>The rent and capital income tax</w:t>
      </w:r>
      <w:r w:rsidR="007D37EF">
        <w:rPr>
          <w:rFonts w:asciiTheme="majorHAnsi" w:hAnsiTheme="majorHAnsi" w:cstheme="majorHAnsi"/>
        </w:rPr>
        <w:t>es</w:t>
      </w:r>
      <w:r w:rsidR="00526D80">
        <w:rPr>
          <w:rFonts w:asciiTheme="majorHAnsi" w:hAnsiTheme="majorHAnsi" w:cstheme="majorHAnsi"/>
        </w:rPr>
        <w:t xml:space="preserve"> are estimated </w:t>
      </w:r>
      <w:r w:rsidR="009259D2">
        <w:rPr>
          <w:rFonts w:asciiTheme="majorHAnsi" w:hAnsiTheme="majorHAnsi" w:cstheme="majorHAnsi"/>
        </w:rPr>
        <w:t xml:space="preserve">by </w:t>
      </w:r>
      <w:r w:rsidR="007D37EF">
        <w:rPr>
          <w:rFonts w:asciiTheme="majorHAnsi" w:hAnsiTheme="majorHAnsi" w:cstheme="majorHAnsi"/>
        </w:rPr>
        <w:t>applying</w:t>
      </w:r>
      <w:r w:rsidR="009259D2">
        <w:rPr>
          <w:rFonts w:asciiTheme="majorHAnsi" w:hAnsiTheme="majorHAnsi" w:cstheme="majorHAnsi"/>
        </w:rPr>
        <w:t xml:space="preserve"> the </w:t>
      </w:r>
      <w:r w:rsidR="00371A89">
        <w:rPr>
          <w:rFonts w:asciiTheme="majorHAnsi" w:hAnsiTheme="majorHAnsi" w:cstheme="majorHAnsi"/>
        </w:rPr>
        <w:t>5</w:t>
      </w:r>
      <w:r w:rsidR="00FB5989">
        <w:rPr>
          <w:rFonts w:asciiTheme="majorHAnsi" w:hAnsiTheme="majorHAnsi" w:cstheme="majorHAnsi"/>
        </w:rPr>
        <w:t xml:space="preserve"> percent</w:t>
      </w:r>
      <w:r w:rsidR="00371A89">
        <w:rPr>
          <w:rFonts w:asciiTheme="majorHAnsi" w:hAnsiTheme="majorHAnsi" w:cstheme="majorHAnsi"/>
        </w:rPr>
        <w:t xml:space="preserve"> rate to the </w:t>
      </w:r>
      <w:r w:rsidR="001E5C4E">
        <w:rPr>
          <w:rFonts w:asciiTheme="majorHAnsi" w:hAnsiTheme="majorHAnsi" w:cstheme="majorHAnsi"/>
        </w:rPr>
        <w:t xml:space="preserve">reported income from </w:t>
      </w:r>
      <w:r w:rsidR="007D37EF">
        <w:rPr>
          <w:rFonts w:asciiTheme="majorHAnsi" w:hAnsiTheme="majorHAnsi" w:cstheme="majorHAnsi"/>
        </w:rPr>
        <w:t>the corresponding sources</w:t>
      </w:r>
      <w:r w:rsidR="001E5C4E">
        <w:rPr>
          <w:rFonts w:asciiTheme="majorHAnsi" w:hAnsiTheme="majorHAnsi" w:cstheme="majorHAnsi"/>
        </w:rPr>
        <w:t>, whereas the</w:t>
      </w:r>
      <w:r w:rsidR="00A359B1">
        <w:rPr>
          <w:rFonts w:asciiTheme="majorHAnsi" w:hAnsiTheme="majorHAnsi" w:cstheme="majorHAnsi"/>
        </w:rPr>
        <w:t xml:space="preserve"> property tax is </w:t>
      </w:r>
      <w:r w:rsidR="00954896">
        <w:rPr>
          <w:rFonts w:asciiTheme="majorHAnsi" w:hAnsiTheme="majorHAnsi" w:cstheme="majorHAnsi"/>
        </w:rPr>
        <w:t>directly identified from survey data</w:t>
      </w:r>
      <w:r w:rsidR="00BD7AD5">
        <w:rPr>
          <w:rFonts w:asciiTheme="majorHAnsi" w:hAnsiTheme="majorHAnsi" w:cstheme="majorHAnsi"/>
        </w:rPr>
        <w:t>.</w:t>
      </w:r>
    </w:p>
    <w:p w14:paraId="5DD0224F" w14:textId="77777777" w:rsidR="00FB5989" w:rsidRPr="00013F52" w:rsidRDefault="00FB5989" w:rsidP="00041B82">
      <w:pPr>
        <w:spacing w:after="0"/>
        <w:jc w:val="both"/>
        <w:rPr>
          <w:rFonts w:asciiTheme="majorHAnsi" w:hAnsiTheme="majorHAnsi" w:cstheme="majorHAnsi"/>
        </w:rPr>
      </w:pPr>
    </w:p>
    <w:p w14:paraId="1E27512D" w14:textId="00145A16" w:rsidR="003D1B7C" w:rsidRDefault="003D1B7C" w:rsidP="00041B82">
      <w:pPr>
        <w:pStyle w:val="Heading3"/>
        <w:spacing w:before="0"/>
      </w:pPr>
      <w:r>
        <w:lastRenderedPageBreak/>
        <w:t>Indirect taxes</w:t>
      </w:r>
    </w:p>
    <w:p w14:paraId="69D74026" w14:textId="77777777" w:rsidR="00FB5989" w:rsidRPr="00FB5989" w:rsidRDefault="00FB5989" w:rsidP="00041B82">
      <w:pPr>
        <w:spacing w:after="0"/>
      </w:pPr>
    </w:p>
    <w:p w14:paraId="02750815" w14:textId="77777777" w:rsidR="00966AA1" w:rsidRPr="00966AA1" w:rsidRDefault="00966AA1" w:rsidP="00041B82">
      <w:pPr>
        <w:spacing w:after="0"/>
        <w:jc w:val="both"/>
        <w:rPr>
          <w:rFonts w:asciiTheme="majorHAnsi" w:hAnsiTheme="majorHAnsi" w:cstheme="majorHAnsi"/>
        </w:rPr>
      </w:pPr>
      <w:r w:rsidRPr="00966AA1">
        <w:rPr>
          <w:rFonts w:asciiTheme="majorHAnsi" w:hAnsiTheme="majorHAnsi" w:cstheme="majorHAnsi"/>
        </w:rPr>
        <w:t>Indirect taxes account for over 60 percent of total tax revenue collection and 9.3 percent of GDP. The study includes:</w:t>
      </w:r>
    </w:p>
    <w:p w14:paraId="5EC3C094" w14:textId="77777777" w:rsidR="00966AA1" w:rsidRPr="00966AA1" w:rsidRDefault="00966AA1" w:rsidP="00041B82">
      <w:pPr>
        <w:spacing w:after="0"/>
        <w:jc w:val="both"/>
        <w:rPr>
          <w:rFonts w:asciiTheme="majorHAnsi" w:hAnsiTheme="majorHAnsi" w:cstheme="majorHAnsi"/>
        </w:rPr>
      </w:pPr>
    </w:p>
    <w:p w14:paraId="16BFDB64" w14:textId="77777777" w:rsidR="00966AA1" w:rsidRPr="00966AA1" w:rsidRDefault="00966AA1" w:rsidP="00B10520">
      <w:pPr>
        <w:pStyle w:val="ListParagraph"/>
        <w:numPr>
          <w:ilvl w:val="0"/>
          <w:numId w:val="7"/>
        </w:numPr>
        <w:spacing w:after="0"/>
        <w:jc w:val="both"/>
        <w:rPr>
          <w:rFonts w:asciiTheme="majorHAnsi" w:hAnsiTheme="majorHAnsi" w:cstheme="majorHAnsi"/>
        </w:rPr>
      </w:pPr>
      <w:r w:rsidRPr="00966AA1">
        <w:rPr>
          <w:rFonts w:asciiTheme="majorHAnsi" w:hAnsiTheme="majorHAnsi" w:cstheme="majorHAnsi"/>
        </w:rPr>
        <w:t>Value-added taxes (IGV): Standard rate of 18 percent on domestic sales of goods and services, with significant exemptions including food items, urban transportation, and most education, health, financial, and housing services.</w:t>
      </w:r>
    </w:p>
    <w:p w14:paraId="59504BD7" w14:textId="77777777" w:rsidR="00966AA1" w:rsidRPr="00966AA1" w:rsidRDefault="00966AA1" w:rsidP="00B10520">
      <w:pPr>
        <w:pStyle w:val="ListParagraph"/>
        <w:numPr>
          <w:ilvl w:val="0"/>
          <w:numId w:val="7"/>
        </w:numPr>
        <w:spacing w:after="0"/>
        <w:jc w:val="both"/>
        <w:rPr>
          <w:rFonts w:asciiTheme="majorHAnsi" w:hAnsiTheme="majorHAnsi" w:cstheme="majorHAnsi"/>
        </w:rPr>
      </w:pPr>
      <w:r w:rsidRPr="00966AA1">
        <w:rPr>
          <w:rFonts w:asciiTheme="majorHAnsi" w:hAnsiTheme="majorHAnsi" w:cstheme="majorHAnsi"/>
        </w:rPr>
        <w:t>Excise taxes (ISC): Applied to fuel products, alcoholic and sweetened beverages, and tobacco products, accounting for 11 percent of total indirect tax collection.</w:t>
      </w:r>
    </w:p>
    <w:p w14:paraId="787A6001" w14:textId="77777777" w:rsidR="00966AA1" w:rsidRPr="00966AA1" w:rsidRDefault="00966AA1" w:rsidP="00041B82">
      <w:pPr>
        <w:spacing w:after="0"/>
        <w:jc w:val="both"/>
        <w:rPr>
          <w:rFonts w:asciiTheme="majorHAnsi" w:hAnsiTheme="majorHAnsi" w:cstheme="majorHAnsi"/>
        </w:rPr>
      </w:pPr>
    </w:p>
    <w:p w14:paraId="3944D634" w14:textId="09C1EB98" w:rsidR="0043027C" w:rsidRPr="00966AA1" w:rsidRDefault="00966AA1" w:rsidP="00041B82">
      <w:pPr>
        <w:spacing w:after="0"/>
        <w:jc w:val="both"/>
        <w:rPr>
          <w:rFonts w:asciiTheme="majorHAnsi" w:hAnsiTheme="majorHAnsi" w:cstheme="majorHAnsi"/>
        </w:rPr>
      </w:pPr>
      <w:r w:rsidRPr="00966AA1">
        <w:rPr>
          <w:rFonts w:asciiTheme="majorHAnsi" w:hAnsiTheme="majorHAnsi" w:cstheme="majorHAnsi"/>
        </w:rPr>
        <w:t>The Amazon region is exempt from IGV and excise taxes as part of a national initiative to promote investment and development. However, the effectiveness of this policy has been questioned, with no evidence indicating it has successfully stimulated economic activity, household income, or consumption (Escobal &amp; Armas, 2018).</w:t>
      </w:r>
    </w:p>
    <w:p w14:paraId="18199927" w14:textId="77777777" w:rsidR="00966AA1" w:rsidRDefault="00966AA1" w:rsidP="00041B82">
      <w:pPr>
        <w:spacing w:after="0"/>
        <w:jc w:val="both"/>
        <w:rPr>
          <w:rFonts w:asciiTheme="majorHAnsi" w:eastAsiaTheme="majorEastAsia" w:hAnsiTheme="majorHAnsi" w:cstheme="majorBidi"/>
          <w:color w:val="1F3763" w:themeColor="accent1" w:themeShade="7F"/>
          <w:sz w:val="24"/>
          <w:szCs w:val="24"/>
        </w:rPr>
      </w:pPr>
    </w:p>
    <w:p w14:paraId="5EAF896A" w14:textId="7D3A9B2E" w:rsidR="00023CD9" w:rsidRPr="004F7D06" w:rsidRDefault="008B0C7A" w:rsidP="00041B82">
      <w:pPr>
        <w:pStyle w:val="Heading3"/>
        <w:spacing w:before="0"/>
      </w:pPr>
      <w:r w:rsidRPr="004F7D06">
        <w:t xml:space="preserve">Government Transfers and </w:t>
      </w:r>
      <w:r w:rsidR="005E38E9" w:rsidRPr="004F7D06">
        <w:t xml:space="preserve">Social Assistance </w:t>
      </w:r>
      <w:r w:rsidR="0030363A" w:rsidRPr="004F7D06">
        <w:t>P</w:t>
      </w:r>
      <w:r w:rsidR="005E38E9" w:rsidRPr="004F7D06">
        <w:t>rograms</w:t>
      </w:r>
    </w:p>
    <w:p w14:paraId="1635F25C" w14:textId="77777777" w:rsidR="00966AA1" w:rsidRPr="0030363A" w:rsidRDefault="00966AA1" w:rsidP="00041B82">
      <w:pPr>
        <w:spacing w:after="0"/>
        <w:rPr>
          <w:b/>
          <w:bCs/>
        </w:rPr>
      </w:pPr>
    </w:p>
    <w:p w14:paraId="337E958B" w14:textId="7B0A11CA" w:rsidR="0030363A" w:rsidRPr="0030363A" w:rsidRDefault="0030363A" w:rsidP="00041B82">
      <w:pPr>
        <w:spacing w:after="0"/>
        <w:jc w:val="both"/>
        <w:rPr>
          <w:rFonts w:asciiTheme="majorHAnsi" w:hAnsiTheme="majorHAnsi" w:cstheme="majorHAnsi"/>
        </w:rPr>
      </w:pPr>
      <w:r w:rsidRPr="0030363A">
        <w:rPr>
          <w:rFonts w:asciiTheme="majorHAnsi" w:hAnsiTheme="majorHAnsi" w:cstheme="majorHAnsi"/>
        </w:rPr>
        <w:t>Peru</w:t>
      </w:r>
      <w:r>
        <w:rPr>
          <w:rFonts w:asciiTheme="majorHAnsi" w:hAnsiTheme="majorHAnsi" w:cstheme="majorHAnsi"/>
        </w:rPr>
        <w:t>’</w:t>
      </w:r>
      <w:r w:rsidRPr="0030363A">
        <w:rPr>
          <w:rFonts w:asciiTheme="majorHAnsi" w:hAnsiTheme="majorHAnsi" w:cstheme="majorHAnsi"/>
        </w:rPr>
        <w:t xml:space="preserve">s social assistance programs cover 90 percent of the poorest quintile and are among the most cost-effective in the </w:t>
      </w:r>
      <w:r w:rsidR="004F7D06">
        <w:rPr>
          <w:rFonts w:asciiTheme="majorHAnsi" w:hAnsiTheme="majorHAnsi" w:cstheme="majorHAnsi"/>
        </w:rPr>
        <w:t xml:space="preserve">LAC </w:t>
      </w:r>
      <w:r w:rsidRPr="0030363A">
        <w:rPr>
          <w:rFonts w:asciiTheme="majorHAnsi" w:hAnsiTheme="majorHAnsi" w:cstheme="majorHAnsi"/>
        </w:rPr>
        <w:t>region. Key programs include:</w:t>
      </w:r>
    </w:p>
    <w:p w14:paraId="010CE4C2" w14:textId="77777777" w:rsidR="0030363A" w:rsidRPr="0030363A" w:rsidRDefault="0030363A" w:rsidP="00B10520">
      <w:pPr>
        <w:pStyle w:val="ListParagraph"/>
        <w:numPr>
          <w:ilvl w:val="0"/>
          <w:numId w:val="8"/>
        </w:numPr>
        <w:spacing w:after="0"/>
        <w:jc w:val="both"/>
        <w:rPr>
          <w:rFonts w:asciiTheme="majorHAnsi" w:hAnsiTheme="majorHAnsi" w:cstheme="majorHAnsi"/>
        </w:rPr>
      </w:pPr>
      <w:r w:rsidRPr="0030363A">
        <w:rPr>
          <w:rFonts w:asciiTheme="majorHAnsi" w:hAnsiTheme="majorHAnsi" w:cstheme="majorHAnsi"/>
        </w:rPr>
        <w:t>JUNTOS: Conditional cash transfer program (0.35 percent of GDP) providing PEN 100 monthly to poor households with pregnant women or children/teenagers in education.</w:t>
      </w:r>
    </w:p>
    <w:p w14:paraId="66B097C7" w14:textId="77777777" w:rsidR="0030363A" w:rsidRPr="0030363A" w:rsidRDefault="0030363A" w:rsidP="00B10520">
      <w:pPr>
        <w:pStyle w:val="ListParagraph"/>
        <w:numPr>
          <w:ilvl w:val="0"/>
          <w:numId w:val="8"/>
        </w:numPr>
        <w:spacing w:after="0"/>
        <w:jc w:val="both"/>
        <w:rPr>
          <w:rFonts w:asciiTheme="majorHAnsi" w:hAnsiTheme="majorHAnsi" w:cstheme="majorHAnsi"/>
        </w:rPr>
      </w:pPr>
      <w:r w:rsidRPr="0030363A">
        <w:rPr>
          <w:rFonts w:asciiTheme="majorHAnsi" w:hAnsiTheme="majorHAnsi" w:cstheme="majorHAnsi"/>
        </w:rPr>
        <w:t>Pensión 65: Non-contributory pension program (0.12 percent of GDP) providing PEN 250 bimonthly to extremely poor households with individuals aged 65 or more.</w:t>
      </w:r>
    </w:p>
    <w:p w14:paraId="1FBB9B11" w14:textId="77777777" w:rsidR="0030363A" w:rsidRPr="0030363A" w:rsidRDefault="0030363A" w:rsidP="00B10520">
      <w:pPr>
        <w:pStyle w:val="ListParagraph"/>
        <w:numPr>
          <w:ilvl w:val="0"/>
          <w:numId w:val="8"/>
        </w:numPr>
        <w:spacing w:after="0"/>
        <w:jc w:val="both"/>
        <w:rPr>
          <w:rFonts w:asciiTheme="majorHAnsi" w:hAnsiTheme="majorHAnsi" w:cstheme="majorHAnsi"/>
        </w:rPr>
      </w:pPr>
      <w:r w:rsidRPr="0030363A">
        <w:rPr>
          <w:rFonts w:asciiTheme="majorHAnsi" w:hAnsiTheme="majorHAnsi" w:cstheme="majorHAnsi"/>
        </w:rPr>
        <w:t>Beca 18: Scholarship program for high-achieving students with limited economic resources.</w:t>
      </w:r>
    </w:p>
    <w:p w14:paraId="7B389E15" w14:textId="77777777" w:rsidR="0030363A" w:rsidRPr="0030363A" w:rsidRDefault="0030363A" w:rsidP="00B10520">
      <w:pPr>
        <w:pStyle w:val="ListParagraph"/>
        <w:numPr>
          <w:ilvl w:val="0"/>
          <w:numId w:val="8"/>
        </w:numPr>
        <w:spacing w:after="0"/>
        <w:jc w:val="both"/>
        <w:rPr>
          <w:rFonts w:asciiTheme="majorHAnsi" w:hAnsiTheme="majorHAnsi" w:cstheme="majorHAnsi"/>
        </w:rPr>
      </w:pPr>
      <w:r w:rsidRPr="0030363A">
        <w:rPr>
          <w:rFonts w:asciiTheme="majorHAnsi" w:hAnsiTheme="majorHAnsi" w:cstheme="majorHAnsi"/>
        </w:rPr>
        <w:t>Bonogas: Natural gas access expansion program.</w:t>
      </w:r>
    </w:p>
    <w:p w14:paraId="461593B3" w14:textId="77777777" w:rsidR="0030363A" w:rsidRPr="0030363A" w:rsidRDefault="0030363A" w:rsidP="00B10520">
      <w:pPr>
        <w:pStyle w:val="ListParagraph"/>
        <w:numPr>
          <w:ilvl w:val="0"/>
          <w:numId w:val="8"/>
        </w:numPr>
        <w:spacing w:after="0"/>
        <w:jc w:val="both"/>
        <w:rPr>
          <w:rFonts w:asciiTheme="majorHAnsi" w:hAnsiTheme="majorHAnsi" w:cstheme="majorHAnsi"/>
        </w:rPr>
      </w:pPr>
      <w:r w:rsidRPr="0030363A">
        <w:rPr>
          <w:rFonts w:asciiTheme="majorHAnsi" w:hAnsiTheme="majorHAnsi" w:cstheme="majorHAnsi"/>
        </w:rPr>
        <w:t>Non-monetary assistance: Including Qaliwarma (school feeding), Cuna Más (childcare), and various labor training and employment programs.</w:t>
      </w:r>
    </w:p>
    <w:p w14:paraId="44D00E79" w14:textId="77777777" w:rsidR="0030363A" w:rsidRPr="0030363A" w:rsidRDefault="0030363A" w:rsidP="00041B82">
      <w:pPr>
        <w:spacing w:after="0"/>
        <w:jc w:val="both"/>
        <w:rPr>
          <w:rFonts w:asciiTheme="majorHAnsi" w:hAnsiTheme="majorHAnsi" w:cstheme="majorHAnsi"/>
        </w:rPr>
      </w:pPr>
    </w:p>
    <w:p w14:paraId="73F87E85" w14:textId="7CC806A1" w:rsidR="0030363A" w:rsidRPr="0030363A" w:rsidRDefault="0030363A" w:rsidP="00041B82">
      <w:pPr>
        <w:spacing w:after="0"/>
        <w:jc w:val="both"/>
        <w:rPr>
          <w:rFonts w:asciiTheme="majorHAnsi" w:hAnsiTheme="majorHAnsi" w:cstheme="majorHAnsi"/>
        </w:rPr>
      </w:pPr>
      <w:r w:rsidRPr="0030363A">
        <w:rPr>
          <w:rFonts w:asciiTheme="majorHAnsi" w:hAnsiTheme="majorHAnsi" w:cstheme="majorHAnsi"/>
        </w:rPr>
        <w:t>Contributory social protection includes pension (13 percent of monthly gross wage) and health contributions (9 percent of monthly gross wage) through social security systems.</w:t>
      </w:r>
    </w:p>
    <w:p w14:paraId="39696A74" w14:textId="77777777" w:rsidR="0030363A" w:rsidRPr="00E55AA6" w:rsidRDefault="0030363A" w:rsidP="00041B82">
      <w:pPr>
        <w:spacing w:after="0"/>
        <w:jc w:val="both"/>
        <w:rPr>
          <w:rFonts w:asciiTheme="majorHAnsi" w:hAnsiTheme="majorHAnsi" w:cstheme="majorHAnsi"/>
        </w:rPr>
      </w:pPr>
    </w:p>
    <w:p w14:paraId="2D90A2A6" w14:textId="215958F2" w:rsidR="00023CD9" w:rsidRDefault="00023CD9" w:rsidP="00041B82">
      <w:pPr>
        <w:pStyle w:val="Heading3"/>
        <w:spacing w:before="0"/>
      </w:pPr>
      <w:r>
        <w:t xml:space="preserve">In-Kind </w:t>
      </w:r>
      <w:r w:rsidR="00091C1E">
        <w:t>Benefits</w:t>
      </w:r>
    </w:p>
    <w:p w14:paraId="51C0CC67" w14:textId="77777777" w:rsidR="004F7D06" w:rsidRDefault="004F7D06" w:rsidP="00041B82">
      <w:pPr>
        <w:spacing w:after="0"/>
        <w:jc w:val="both"/>
      </w:pPr>
    </w:p>
    <w:p w14:paraId="674D0F28" w14:textId="2414EC7A" w:rsidR="004F7D06" w:rsidRPr="004F7D06" w:rsidRDefault="004F7D06" w:rsidP="00041B82">
      <w:pPr>
        <w:spacing w:after="0"/>
        <w:jc w:val="both"/>
        <w:rPr>
          <w:rFonts w:asciiTheme="majorHAnsi" w:hAnsiTheme="majorHAnsi" w:cstheme="majorHAnsi"/>
        </w:rPr>
      </w:pPr>
      <w:r w:rsidRPr="004F7D06">
        <w:rPr>
          <w:rFonts w:asciiTheme="majorHAnsi" w:hAnsiTheme="majorHAnsi" w:cstheme="majorHAnsi"/>
        </w:rPr>
        <w:t>In-kind benefits encompass public education and health services, net of copayment fees:</w:t>
      </w:r>
    </w:p>
    <w:p w14:paraId="721DB910" w14:textId="77777777" w:rsidR="004F7D06" w:rsidRPr="004F7D06" w:rsidRDefault="004F7D06" w:rsidP="00B10520">
      <w:pPr>
        <w:pStyle w:val="ListParagraph"/>
        <w:numPr>
          <w:ilvl w:val="0"/>
          <w:numId w:val="9"/>
        </w:numPr>
        <w:spacing w:after="0"/>
        <w:jc w:val="both"/>
        <w:rPr>
          <w:rFonts w:asciiTheme="majorHAnsi" w:hAnsiTheme="majorHAnsi" w:cstheme="majorHAnsi"/>
        </w:rPr>
      </w:pPr>
      <w:r w:rsidRPr="004F7D06">
        <w:rPr>
          <w:rFonts w:asciiTheme="majorHAnsi" w:hAnsiTheme="majorHAnsi" w:cstheme="majorHAnsi"/>
        </w:rPr>
        <w:t>Education: Covers pre-primary to tertiary education, including special basic education.</w:t>
      </w:r>
    </w:p>
    <w:p w14:paraId="79518F66" w14:textId="77777777" w:rsidR="004F7D06" w:rsidRPr="004F7D06" w:rsidRDefault="004F7D06" w:rsidP="00B10520">
      <w:pPr>
        <w:pStyle w:val="ListParagraph"/>
        <w:numPr>
          <w:ilvl w:val="0"/>
          <w:numId w:val="9"/>
        </w:numPr>
        <w:spacing w:after="0"/>
        <w:jc w:val="both"/>
        <w:rPr>
          <w:rFonts w:asciiTheme="majorHAnsi" w:hAnsiTheme="majorHAnsi" w:cstheme="majorHAnsi"/>
        </w:rPr>
      </w:pPr>
      <w:r w:rsidRPr="004F7D06">
        <w:rPr>
          <w:rFonts w:asciiTheme="majorHAnsi" w:hAnsiTheme="majorHAnsi" w:cstheme="majorHAnsi"/>
        </w:rPr>
        <w:t>Health: Estimates the value of services within the non-contributory health system (SIS).</w:t>
      </w:r>
    </w:p>
    <w:p w14:paraId="48F72E2C" w14:textId="77777777" w:rsidR="004F7D06" w:rsidRPr="004F7D06" w:rsidRDefault="004F7D06" w:rsidP="00041B82">
      <w:pPr>
        <w:spacing w:after="0"/>
        <w:jc w:val="both"/>
        <w:rPr>
          <w:rFonts w:asciiTheme="majorHAnsi" w:hAnsiTheme="majorHAnsi" w:cstheme="majorHAnsi"/>
        </w:rPr>
      </w:pPr>
    </w:p>
    <w:p w14:paraId="66CE4F78" w14:textId="4DB31A09" w:rsidR="004F7D06" w:rsidRPr="004F7D06" w:rsidRDefault="004F7D06" w:rsidP="00041B82">
      <w:pPr>
        <w:spacing w:after="0"/>
        <w:jc w:val="both"/>
        <w:rPr>
          <w:rFonts w:asciiTheme="majorHAnsi" w:hAnsiTheme="majorHAnsi" w:cstheme="majorHAnsi"/>
        </w:rPr>
      </w:pPr>
      <w:r w:rsidRPr="004F7D06">
        <w:rPr>
          <w:rFonts w:asciiTheme="majorHAnsi" w:hAnsiTheme="majorHAnsi" w:cstheme="majorHAnsi"/>
        </w:rPr>
        <w:t>Benefits are estimated by imputing per-student or per-beneficiary public expenditure based on administrative data and survey-reported enrollment or usage.</w:t>
      </w:r>
    </w:p>
    <w:p w14:paraId="08A9FCA6" w14:textId="77777777" w:rsidR="004F7D06" w:rsidRDefault="004F7D06" w:rsidP="00041B82">
      <w:pPr>
        <w:spacing w:after="0"/>
        <w:jc w:val="both"/>
        <w:rPr>
          <w:rFonts w:asciiTheme="majorHAnsi" w:hAnsiTheme="majorHAnsi" w:cstheme="majorHAnsi"/>
        </w:rPr>
      </w:pPr>
    </w:p>
    <w:p w14:paraId="3C0143CA" w14:textId="5E97FE5F" w:rsidR="001205F9" w:rsidRDefault="001205F9" w:rsidP="00041B82">
      <w:pPr>
        <w:pStyle w:val="Heading2"/>
        <w:spacing w:before="0"/>
      </w:pPr>
      <w:r w:rsidRPr="001205F9">
        <w:t>Household Typologies</w:t>
      </w:r>
    </w:p>
    <w:p w14:paraId="403FC7AD" w14:textId="77777777" w:rsidR="00041B82" w:rsidRPr="00041B82" w:rsidRDefault="00041B82" w:rsidP="00041B82">
      <w:pPr>
        <w:spacing w:after="0"/>
      </w:pPr>
    </w:p>
    <w:p w14:paraId="69AE704A" w14:textId="32E4F9AD" w:rsidR="001205F9" w:rsidRDefault="001205F9" w:rsidP="00041B82">
      <w:pPr>
        <w:spacing w:after="0"/>
        <w:jc w:val="both"/>
        <w:rPr>
          <w:rFonts w:asciiTheme="majorHAnsi" w:hAnsiTheme="majorHAnsi" w:cstheme="majorHAnsi"/>
        </w:rPr>
      </w:pPr>
      <w:r w:rsidRPr="001205F9">
        <w:rPr>
          <w:rFonts w:asciiTheme="majorHAnsi" w:hAnsiTheme="majorHAnsi" w:cstheme="majorHAnsi"/>
        </w:rPr>
        <w:lastRenderedPageBreak/>
        <w:t xml:space="preserve">To capture gendered aspects of fiscal incidence, we </w:t>
      </w:r>
      <w:r w:rsidR="003A1D3F">
        <w:rPr>
          <w:rFonts w:asciiTheme="majorHAnsi" w:hAnsiTheme="majorHAnsi" w:cstheme="majorHAnsi"/>
        </w:rPr>
        <w:t xml:space="preserve">classify </w:t>
      </w:r>
      <w:r w:rsidRPr="001205F9">
        <w:rPr>
          <w:rFonts w:asciiTheme="majorHAnsi" w:hAnsiTheme="majorHAnsi" w:cstheme="majorHAnsi"/>
        </w:rPr>
        <w:t>households into typologies based on</w:t>
      </w:r>
      <w:r w:rsidR="000156C5">
        <w:rPr>
          <w:rFonts w:asciiTheme="majorHAnsi" w:hAnsiTheme="majorHAnsi" w:cstheme="majorHAnsi"/>
        </w:rPr>
        <w:t xml:space="preserve"> (i) their </w:t>
      </w:r>
      <w:r w:rsidR="00F6699C">
        <w:rPr>
          <w:rFonts w:asciiTheme="majorHAnsi" w:hAnsiTheme="majorHAnsi" w:cstheme="majorHAnsi"/>
        </w:rPr>
        <w:t>demographic</w:t>
      </w:r>
      <w:r w:rsidR="000156C5">
        <w:rPr>
          <w:rFonts w:asciiTheme="majorHAnsi" w:hAnsiTheme="majorHAnsi" w:cstheme="majorHAnsi"/>
        </w:rPr>
        <w:t xml:space="preserve"> composition, (ii) the presence of dependents with care needs, and (iii) </w:t>
      </w:r>
      <w:r w:rsidR="00F6699C">
        <w:rPr>
          <w:rFonts w:asciiTheme="majorHAnsi" w:hAnsiTheme="majorHAnsi" w:cstheme="majorHAnsi"/>
        </w:rPr>
        <w:t xml:space="preserve">the household’s </w:t>
      </w:r>
      <w:r w:rsidR="008F3757">
        <w:rPr>
          <w:rFonts w:asciiTheme="majorHAnsi" w:hAnsiTheme="majorHAnsi" w:cstheme="majorHAnsi"/>
        </w:rPr>
        <w:t>reliance</w:t>
      </w:r>
      <w:r w:rsidR="00F6699C">
        <w:rPr>
          <w:rFonts w:asciiTheme="majorHAnsi" w:hAnsiTheme="majorHAnsi" w:cstheme="majorHAnsi"/>
        </w:rPr>
        <w:t xml:space="preserve"> on agriculture</w:t>
      </w:r>
      <w:r w:rsidR="00557D52">
        <w:rPr>
          <w:rFonts w:asciiTheme="majorHAnsi" w:hAnsiTheme="majorHAnsi" w:cstheme="majorHAnsi"/>
        </w:rPr>
        <w:t xml:space="preserve"> as the main source of income</w:t>
      </w:r>
      <w:r w:rsidR="00F6699C">
        <w:rPr>
          <w:rFonts w:asciiTheme="majorHAnsi" w:hAnsiTheme="majorHAnsi" w:cstheme="majorHAnsi"/>
        </w:rPr>
        <w:t>.</w:t>
      </w:r>
    </w:p>
    <w:p w14:paraId="0DBB8445" w14:textId="77777777" w:rsidR="00DD6555" w:rsidRDefault="00DD6555" w:rsidP="00041B82">
      <w:pPr>
        <w:spacing w:after="0"/>
        <w:jc w:val="both"/>
        <w:rPr>
          <w:rFonts w:asciiTheme="majorHAnsi" w:hAnsiTheme="majorHAnsi" w:cstheme="majorHAnsi"/>
        </w:rPr>
      </w:pPr>
    </w:p>
    <w:p w14:paraId="56A18287" w14:textId="1F251CD7" w:rsidR="001205F9" w:rsidRDefault="001205F9" w:rsidP="00DD6555">
      <w:pPr>
        <w:pStyle w:val="Heading3"/>
        <w:spacing w:before="0"/>
      </w:pPr>
      <w:r w:rsidRPr="001205F9">
        <w:t>Demographic composition</w:t>
      </w:r>
    </w:p>
    <w:p w14:paraId="3359D3EB" w14:textId="77777777" w:rsidR="00041B82" w:rsidRPr="00041B82" w:rsidRDefault="00041B82" w:rsidP="00DD6555">
      <w:pPr>
        <w:spacing w:after="0"/>
      </w:pPr>
    </w:p>
    <w:p w14:paraId="6558B8EA" w14:textId="5BA9C68D" w:rsidR="00F6699C" w:rsidRDefault="00AE7F57" w:rsidP="00DD6555">
      <w:pPr>
        <w:spacing w:after="0"/>
        <w:jc w:val="both"/>
        <w:rPr>
          <w:rFonts w:asciiTheme="majorHAnsi" w:hAnsiTheme="majorHAnsi" w:cstheme="majorHAnsi"/>
        </w:rPr>
      </w:pPr>
      <w:r w:rsidRPr="00AE7F57">
        <w:rPr>
          <w:rFonts w:asciiTheme="majorHAnsi" w:hAnsiTheme="majorHAnsi" w:cstheme="majorHAnsi"/>
        </w:rPr>
        <w:t>We employ a demographic household typology that transcends traditional headship measures to capture the gendered aspects of poverty. This classification is predicated on the adult composition of the household, considering the age and sex of adult members, and delineating categories for elderly and dependent children. The typology comprises seven main groups</w:t>
      </w:r>
      <w:r w:rsidR="002129B6">
        <w:rPr>
          <w:rStyle w:val="FootnoteReference"/>
          <w:rFonts w:asciiTheme="majorHAnsi" w:hAnsiTheme="majorHAnsi" w:cstheme="majorHAnsi"/>
        </w:rPr>
        <w:footnoteReference w:id="3"/>
      </w:r>
      <w:r w:rsidR="00C74B42">
        <w:rPr>
          <w:rFonts w:asciiTheme="majorHAnsi" w:hAnsiTheme="majorHAnsi" w:cstheme="majorHAnsi"/>
        </w:rPr>
        <w:t>:</w:t>
      </w:r>
      <w:r w:rsidR="00933EDD" w:rsidRPr="00933EDD">
        <w:rPr>
          <w:rFonts w:asciiTheme="majorHAnsi" w:hAnsiTheme="majorHAnsi" w:cstheme="majorHAnsi"/>
        </w:rPr>
        <w:t xml:space="preserve"> </w:t>
      </w:r>
    </w:p>
    <w:p w14:paraId="6A0E73CC" w14:textId="77777777" w:rsidR="00F80647" w:rsidRDefault="00F80647" w:rsidP="00DD6555">
      <w:pPr>
        <w:spacing w:after="0"/>
        <w:jc w:val="both"/>
        <w:rPr>
          <w:rFonts w:asciiTheme="majorHAnsi" w:hAnsiTheme="majorHAnsi" w:cstheme="majorHAnsi"/>
        </w:rPr>
      </w:pPr>
    </w:p>
    <w:p w14:paraId="0D196105" w14:textId="2E608CA5" w:rsidR="001205F9" w:rsidRPr="00B44133" w:rsidRDefault="001205F9" w:rsidP="00B10520">
      <w:pPr>
        <w:pStyle w:val="ListParagraph"/>
        <w:numPr>
          <w:ilvl w:val="0"/>
          <w:numId w:val="3"/>
        </w:numPr>
        <w:spacing w:after="0"/>
        <w:jc w:val="both"/>
        <w:rPr>
          <w:rFonts w:asciiTheme="majorHAnsi" w:hAnsiTheme="majorHAnsi" w:cstheme="majorHAnsi"/>
        </w:rPr>
      </w:pPr>
      <w:r w:rsidRPr="00B44133">
        <w:rPr>
          <w:rFonts w:asciiTheme="majorHAnsi" w:hAnsiTheme="majorHAnsi" w:cstheme="majorHAnsi"/>
        </w:rPr>
        <w:t>Nuclear family</w:t>
      </w:r>
      <w:r w:rsidR="00F36833">
        <w:rPr>
          <w:rFonts w:asciiTheme="majorHAnsi" w:hAnsiTheme="majorHAnsi" w:cstheme="majorHAnsi"/>
        </w:rPr>
        <w:t xml:space="preserve">: </w:t>
      </w:r>
      <w:r w:rsidR="006B611D">
        <w:rPr>
          <w:rFonts w:asciiTheme="majorHAnsi" w:hAnsiTheme="majorHAnsi" w:cstheme="majorHAnsi"/>
        </w:rPr>
        <w:t>C</w:t>
      </w:r>
      <w:r w:rsidRPr="00B44133">
        <w:rPr>
          <w:rFonts w:asciiTheme="majorHAnsi" w:hAnsiTheme="majorHAnsi" w:cstheme="majorHAnsi"/>
        </w:rPr>
        <w:t xml:space="preserve">ouple </w:t>
      </w:r>
      <w:r w:rsidR="006B611D">
        <w:rPr>
          <w:rFonts w:asciiTheme="majorHAnsi" w:hAnsiTheme="majorHAnsi" w:cstheme="majorHAnsi"/>
        </w:rPr>
        <w:t xml:space="preserve">(adults 18-64) with </w:t>
      </w:r>
      <w:r w:rsidRPr="00B44133">
        <w:rPr>
          <w:rFonts w:asciiTheme="majorHAnsi" w:hAnsiTheme="majorHAnsi" w:cstheme="majorHAnsi"/>
        </w:rPr>
        <w:t>children</w:t>
      </w:r>
      <w:r w:rsidR="006B611D">
        <w:rPr>
          <w:rFonts w:asciiTheme="majorHAnsi" w:hAnsiTheme="majorHAnsi" w:cstheme="majorHAnsi"/>
        </w:rPr>
        <w:t xml:space="preserve"> (without adults 65+)</w:t>
      </w:r>
      <w:r w:rsidR="001512C8">
        <w:rPr>
          <w:rFonts w:asciiTheme="majorHAnsi" w:hAnsiTheme="majorHAnsi" w:cstheme="majorHAnsi"/>
        </w:rPr>
        <w:t>;</w:t>
      </w:r>
    </w:p>
    <w:p w14:paraId="21ABA67B" w14:textId="0A17EBD0" w:rsidR="001205F9" w:rsidRPr="00E2214B" w:rsidRDefault="001205F9" w:rsidP="00B10520">
      <w:pPr>
        <w:pStyle w:val="ListParagraph"/>
        <w:numPr>
          <w:ilvl w:val="0"/>
          <w:numId w:val="3"/>
        </w:numPr>
        <w:spacing w:after="0"/>
        <w:jc w:val="both"/>
        <w:rPr>
          <w:rFonts w:asciiTheme="majorHAnsi" w:hAnsiTheme="majorHAnsi" w:cstheme="majorHAnsi"/>
        </w:rPr>
      </w:pPr>
      <w:r w:rsidRPr="00E2214B">
        <w:rPr>
          <w:rFonts w:asciiTheme="majorHAnsi" w:hAnsiTheme="majorHAnsi" w:cstheme="majorHAnsi"/>
        </w:rPr>
        <w:t>Extended nuclear family</w:t>
      </w:r>
      <w:r w:rsidR="00A2471A">
        <w:rPr>
          <w:rFonts w:asciiTheme="majorHAnsi" w:hAnsiTheme="majorHAnsi" w:cstheme="majorHAnsi"/>
        </w:rPr>
        <w:t>:</w:t>
      </w:r>
      <w:r w:rsidRPr="00E2214B">
        <w:rPr>
          <w:rFonts w:asciiTheme="majorHAnsi" w:hAnsiTheme="majorHAnsi" w:cstheme="majorHAnsi"/>
        </w:rPr>
        <w:t xml:space="preserve"> </w:t>
      </w:r>
      <w:r w:rsidR="00A2471A">
        <w:rPr>
          <w:rFonts w:asciiTheme="majorHAnsi" w:hAnsiTheme="majorHAnsi" w:cstheme="majorHAnsi"/>
        </w:rPr>
        <w:t>C</w:t>
      </w:r>
      <w:r w:rsidRPr="00E2214B">
        <w:rPr>
          <w:rFonts w:asciiTheme="majorHAnsi" w:hAnsiTheme="majorHAnsi" w:cstheme="majorHAnsi"/>
        </w:rPr>
        <w:t xml:space="preserve">ouple </w:t>
      </w:r>
      <w:r w:rsidR="00A2471A">
        <w:rPr>
          <w:rFonts w:asciiTheme="majorHAnsi" w:hAnsiTheme="majorHAnsi" w:cstheme="majorHAnsi"/>
        </w:rPr>
        <w:t xml:space="preserve">(adults 18-64) with </w:t>
      </w:r>
      <w:r w:rsidR="00A2471A" w:rsidRPr="00B44133">
        <w:rPr>
          <w:rFonts w:asciiTheme="majorHAnsi" w:hAnsiTheme="majorHAnsi" w:cstheme="majorHAnsi"/>
        </w:rPr>
        <w:t>children</w:t>
      </w:r>
      <w:r w:rsidR="00A2471A" w:rsidRPr="00E2214B">
        <w:rPr>
          <w:rFonts w:asciiTheme="majorHAnsi" w:hAnsiTheme="majorHAnsi" w:cstheme="majorHAnsi"/>
        </w:rPr>
        <w:t xml:space="preserve"> </w:t>
      </w:r>
      <w:r w:rsidRPr="00E2214B">
        <w:rPr>
          <w:rFonts w:asciiTheme="majorHAnsi" w:hAnsiTheme="majorHAnsi" w:cstheme="majorHAnsi"/>
        </w:rPr>
        <w:t>and other adults</w:t>
      </w:r>
      <w:r w:rsidR="00FA1341">
        <w:rPr>
          <w:rFonts w:asciiTheme="majorHAnsi" w:hAnsiTheme="majorHAnsi" w:cstheme="majorHAnsi"/>
        </w:rPr>
        <w:t xml:space="preserve"> 18+</w:t>
      </w:r>
      <w:r w:rsidR="001512C8">
        <w:rPr>
          <w:rFonts w:asciiTheme="majorHAnsi" w:hAnsiTheme="majorHAnsi" w:cstheme="majorHAnsi"/>
        </w:rPr>
        <w:t>;</w:t>
      </w:r>
    </w:p>
    <w:p w14:paraId="577868B7" w14:textId="18597774" w:rsidR="00137684" w:rsidRPr="00137684" w:rsidRDefault="001205F9" w:rsidP="00B10520">
      <w:pPr>
        <w:pStyle w:val="ListParagraph"/>
        <w:numPr>
          <w:ilvl w:val="0"/>
          <w:numId w:val="3"/>
        </w:numPr>
        <w:spacing w:after="0"/>
        <w:jc w:val="both"/>
        <w:rPr>
          <w:rFonts w:asciiTheme="majorHAnsi" w:hAnsiTheme="majorHAnsi" w:cstheme="majorHAnsi"/>
        </w:rPr>
      </w:pPr>
      <w:r w:rsidRPr="00E2214B">
        <w:rPr>
          <w:rFonts w:asciiTheme="majorHAnsi" w:hAnsiTheme="majorHAnsi" w:cstheme="majorHAnsi"/>
        </w:rPr>
        <w:t>Single mother</w:t>
      </w:r>
      <w:r w:rsidR="00EF49C8">
        <w:rPr>
          <w:rFonts w:asciiTheme="majorHAnsi" w:hAnsiTheme="majorHAnsi" w:cstheme="majorHAnsi"/>
        </w:rPr>
        <w:t>:</w:t>
      </w:r>
      <w:r w:rsidRPr="00E2214B">
        <w:rPr>
          <w:rFonts w:asciiTheme="majorHAnsi" w:hAnsiTheme="majorHAnsi" w:cstheme="majorHAnsi"/>
        </w:rPr>
        <w:t xml:space="preserve"> </w:t>
      </w:r>
      <w:r w:rsidR="00137684" w:rsidRPr="00137684">
        <w:rPr>
          <w:rFonts w:asciiTheme="majorHAnsi" w:hAnsiTheme="majorHAnsi" w:cstheme="majorHAnsi"/>
        </w:rPr>
        <w:t>Single mother: One adult woman (18-64) with children (with or without adults 65+)</w:t>
      </w:r>
      <w:r w:rsidR="001512C8">
        <w:rPr>
          <w:rFonts w:asciiTheme="majorHAnsi" w:hAnsiTheme="majorHAnsi" w:cstheme="majorHAnsi"/>
        </w:rPr>
        <w:t>;</w:t>
      </w:r>
    </w:p>
    <w:p w14:paraId="415622ED" w14:textId="72AE3B88" w:rsidR="00137684" w:rsidRPr="00137684" w:rsidRDefault="00137684" w:rsidP="00B10520">
      <w:pPr>
        <w:pStyle w:val="ListParagraph"/>
        <w:numPr>
          <w:ilvl w:val="0"/>
          <w:numId w:val="3"/>
        </w:numPr>
        <w:spacing w:after="0"/>
        <w:jc w:val="both"/>
        <w:rPr>
          <w:rFonts w:asciiTheme="majorHAnsi" w:hAnsiTheme="majorHAnsi" w:cstheme="majorHAnsi"/>
        </w:rPr>
      </w:pPr>
      <w:r w:rsidRPr="00137684">
        <w:rPr>
          <w:rFonts w:asciiTheme="majorHAnsi" w:hAnsiTheme="majorHAnsi" w:cstheme="majorHAnsi"/>
        </w:rPr>
        <w:t>Single adult: One adult person (18-64) without children (with or without adults 65+)</w:t>
      </w:r>
      <w:r w:rsidR="001512C8">
        <w:rPr>
          <w:rFonts w:asciiTheme="majorHAnsi" w:hAnsiTheme="majorHAnsi" w:cstheme="majorHAnsi"/>
        </w:rPr>
        <w:t>;</w:t>
      </w:r>
    </w:p>
    <w:p w14:paraId="2086ADE6" w14:textId="55596523" w:rsidR="00137684" w:rsidRPr="00137684" w:rsidRDefault="00137684" w:rsidP="00B10520">
      <w:pPr>
        <w:pStyle w:val="ListParagraph"/>
        <w:numPr>
          <w:ilvl w:val="0"/>
          <w:numId w:val="3"/>
        </w:numPr>
        <w:spacing w:after="0"/>
        <w:jc w:val="both"/>
        <w:rPr>
          <w:rFonts w:asciiTheme="majorHAnsi" w:hAnsiTheme="majorHAnsi" w:cstheme="majorHAnsi"/>
        </w:rPr>
      </w:pPr>
      <w:r w:rsidRPr="00137684">
        <w:rPr>
          <w:rFonts w:asciiTheme="majorHAnsi" w:hAnsiTheme="majorHAnsi" w:cstheme="majorHAnsi"/>
        </w:rPr>
        <w:t>Elderly household: Adults 65+ without children</w:t>
      </w:r>
      <w:r w:rsidR="001512C8">
        <w:rPr>
          <w:rFonts w:asciiTheme="majorHAnsi" w:hAnsiTheme="majorHAnsi" w:cstheme="majorHAnsi"/>
        </w:rPr>
        <w:t>;</w:t>
      </w:r>
    </w:p>
    <w:p w14:paraId="69CA1530" w14:textId="24880154" w:rsidR="00137684" w:rsidRPr="00137684" w:rsidRDefault="00137684" w:rsidP="00B10520">
      <w:pPr>
        <w:pStyle w:val="ListParagraph"/>
        <w:numPr>
          <w:ilvl w:val="0"/>
          <w:numId w:val="3"/>
        </w:numPr>
        <w:spacing w:after="0"/>
        <w:jc w:val="both"/>
        <w:rPr>
          <w:rFonts w:asciiTheme="majorHAnsi" w:hAnsiTheme="majorHAnsi" w:cstheme="majorHAnsi"/>
        </w:rPr>
      </w:pPr>
      <w:r w:rsidRPr="00137684">
        <w:rPr>
          <w:rFonts w:asciiTheme="majorHAnsi" w:hAnsiTheme="majorHAnsi" w:cstheme="majorHAnsi"/>
        </w:rPr>
        <w:t>Other households with children: Other combinations of adults 18+ with children</w:t>
      </w:r>
      <w:r w:rsidR="001512C8">
        <w:rPr>
          <w:rFonts w:asciiTheme="majorHAnsi" w:hAnsiTheme="majorHAnsi" w:cstheme="majorHAnsi"/>
        </w:rPr>
        <w:t>;</w:t>
      </w:r>
    </w:p>
    <w:p w14:paraId="089BBAF7" w14:textId="7081CE22" w:rsidR="00963C92" w:rsidRDefault="00137684" w:rsidP="00B10520">
      <w:pPr>
        <w:pStyle w:val="ListParagraph"/>
        <w:numPr>
          <w:ilvl w:val="0"/>
          <w:numId w:val="3"/>
        </w:numPr>
        <w:spacing w:after="0"/>
        <w:jc w:val="both"/>
        <w:rPr>
          <w:rFonts w:asciiTheme="majorHAnsi" w:hAnsiTheme="majorHAnsi" w:cstheme="majorHAnsi"/>
        </w:rPr>
      </w:pPr>
      <w:r w:rsidRPr="00137684">
        <w:rPr>
          <w:rFonts w:asciiTheme="majorHAnsi" w:hAnsiTheme="majorHAnsi" w:cstheme="majorHAnsi"/>
        </w:rPr>
        <w:t>Other households without children: Other combinations of adults 18+ without children</w:t>
      </w:r>
      <w:r w:rsidR="001512C8">
        <w:rPr>
          <w:rFonts w:asciiTheme="majorHAnsi" w:hAnsiTheme="majorHAnsi" w:cstheme="majorHAnsi"/>
        </w:rPr>
        <w:t>.</w:t>
      </w:r>
    </w:p>
    <w:p w14:paraId="36E118A9" w14:textId="77777777" w:rsidR="00F80647" w:rsidRPr="00963C92" w:rsidRDefault="00F80647" w:rsidP="00DD6555">
      <w:pPr>
        <w:pStyle w:val="ListParagraph"/>
        <w:spacing w:after="0"/>
        <w:jc w:val="both"/>
        <w:rPr>
          <w:rFonts w:asciiTheme="majorHAnsi" w:hAnsiTheme="majorHAnsi" w:cstheme="majorHAnsi"/>
        </w:rPr>
      </w:pPr>
    </w:p>
    <w:p w14:paraId="3C9EDE15" w14:textId="15E88A66" w:rsidR="00E91ED2" w:rsidRDefault="0045059C" w:rsidP="00DD6555">
      <w:pPr>
        <w:spacing w:after="0"/>
        <w:jc w:val="both"/>
        <w:rPr>
          <w:rFonts w:asciiTheme="majorHAnsi" w:hAnsiTheme="majorHAnsi" w:cstheme="majorHAnsi"/>
        </w:rPr>
      </w:pPr>
      <w:r w:rsidRPr="0045059C">
        <w:rPr>
          <w:rFonts w:asciiTheme="majorHAnsi" w:hAnsiTheme="majorHAnsi" w:cstheme="majorHAnsi"/>
        </w:rPr>
        <w:t>This classification facilitates a more nuanced understanding of household structures and their relationship with poverty, particularly in terms of gender dynamics. It incorporates critical aspects such as the presence of children and elderly members, which have been demonstrated to be significant factors in explaining household poverty rates (Munoz et al. 2018</w:t>
      </w:r>
      <w:r w:rsidR="00FD61BC">
        <w:rPr>
          <w:rFonts w:asciiTheme="majorHAnsi" w:hAnsiTheme="majorHAnsi" w:cstheme="majorHAnsi"/>
        </w:rPr>
        <w:t>; Munoz et al. 2021</w:t>
      </w:r>
      <w:r w:rsidRPr="0045059C">
        <w:rPr>
          <w:rFonts w:asciiTheme="majorHAnsi" w:hAnsiTheme="majorHAnsi" w:cstheme="majorHAnsi"/>
        </w:rPr>
        <w:t>).</w:t>
      </w:r>
    </w:p>
    <w:p w14:paraId="39696C64" w14:textId="77777777" w:rsidR="00F80647" w:rsidRDefault="00F80647" w:rsidP="00DD6555">
      <w:pPr>
        <w:spacing w:after="0"/>
        <w:jc w:val="both"/>
        <w:rPr>
          <w:rFonts w:asciiTheme="majorHAnsi" w:hAnsiTheme="majorHAnsi" w:cstheme="majorHAnsi"/>
        </w:rPr>
      </w:pPr>
    </w:p>
    <w:p w14:paraId="5E2ABEA8" w14:textId="7FF56216" w:rsidR="00647BB6" w:rsidRDefault="00647BB6" w:rsidP="00290D56">
      <w:pPr>
        <w:spacing w:after="0"/>
        <w:jc w:val="both"/>
        <w:rPr>
          <w:rFonts w:asciiTheme="majorHAnsi" w:hAnsiTheme="majorHAnsi" w:cstheme="majorHAnsi"/>
        </w:rPr>
      </w:pPr>
      <w:r w:rsidRPr="00647BB6">
        <w:rPr>
          <w:rFonts w:asciiTheme="majorHAnsi" w:hAnsiTheme="majorHAnsi" w:cstheme="majorHAnsi"/>
        </w:rPr>
        <w:t>Analysis of the household distribution across demographic types reveals notable trends. Nuclear families (type i) constitute the largest share of both poor (</w:t>
      </w:r>
      <w:r w:rsidR="00E40E3F">
        <w:rPr>
          <w:rFonts w:asciiTheme="majorHAnsi" w:hAnsiTheme="majorHAnsi" w:cstheme="majorHAnsi"/>
        </w:rPr>
        <w:t>35.6</w:t>
      </w:r>
      <w:r w:rsidR="0070230E">
        <w:rPr>
          <w:rFonts w:asciiTheme="majorHAnsi" w:hAnsiTheme="majorHAnsi" w:cstheme="majorHAnsi"/>
        </w:rPr>
        <w:t xml:space="preserve"> percent</w:t>
      </w:r>
      <w:r w:rsidRPr="00647BB6">
        <w:rPr>
          <w:rFonts w:asciiTheme="majorHAnsi" w:hAnsiTheme="majorHAnsi" w:cstheme="majorHAnsi"/>
        </w:rPr>
        <w:t>) and total households (</w:t>
      </w:r>
      <w:r w:rsidR="00E40E3F">
        <w:rPr>
          <w:rFonts w:asciiTheme="majorHAnsi" w:hAnsiTheme="majorHAnsi" w:cstheme="majorHAnsi"/>
        </w:rPr>
        <w:t>22.6</w:t>
      </w:r>
      <w:r w:rsidR="0070230E">
        <w:rPr>
          <w:rFonts w:asciiTheme="majorHAnsi" w:hAnsiTheme="majorHAnsi" w:cstheme="majorHAnsi"/>
        </w:rPr>
        <w:t xml:space="preserve"> percent</w:t>
      </w:r>
      <w:r w:rsidRPr="00647BB6">
        <w:rPr>
          <w:rFonts w:asciiTheme="majorHAnsi" w:hAnsiTheme="majorHAnsi" w:cstheme="majorHAnsi"/>
        </w:rPr>
        <w:t>), indicating their prevalence in Peruvian society</w:t>
      </w:r>
      <w:r w:rsidR="00EF043A">
        <w:rPr>
          <w:rFonts w:asciiTheme="majorHAnsi" w:hAnsiTheme="majorHAnsi" w:cstheme="majorHAnsi"/>
        </w:rPr>
        <w:t xml:space="preserve"> (</w:t>
      </w:r>
      <w:r w:rsidR="00FF1628">
        <w:rPr>
          <w:rFonts w:asciiTheme="majorHAnsi" w:hAnsiTheme="majorHAnsi" w:cstheme="majorHAnsi"/>
        </w:rPr>
        <w:fldChar w:fldCharType="begin"/>
      </w:r>
      <w:r w:rsidR="00FF1628">
        <w:rPr>
          <w:rFonts w:asciiTheme="majorHAnsi" w:hAnsiTheme="majorHAnsi" w:cstheme="majorHAnsi"/>
        </w:rPr>
        <w:instrText xml:space="preserve"> REF _Ref175135379 \h </w:instrText>
      </w:r>
      <w:r w:rsidR="00F80647">
        <w:rPr>
          <w:rFonts w:asciiTheme="majorHAnsi" w:hAnsiTheme="majorHAnsi" w:cstheme="majorHAnsi"/>
        </w:rPr>
        <w:instrText xml:space="preserve"> \* MERGEFORMAT </w:instrText>
      </w:r>
      <w:r w:rsidR="00FF1628">
        <w:rPr>
          <w:rFonts w:asciiTheme="majorHAnsi" w:hAnsiTheme="majorHAnsi" w:cstheme="majorHAnsi"/>
        </w:rPr>
      </w:r>
      <w:r w:rsidR="00FF1628">
        <w:rPr>
          <w:rFonts w:asciiTheme="majorHAnsi" w:hAnsiTheme="majorHAnsi" w:cstheme="majorHAnsi"/>
        </w:rPr>
        <w:fldChar w:fldCharType="separate"/>
      </w:r>
      <w:r w:rsidR="00B71781" w:rsidRPr="00F80647">
        <w:rPr>
          <w:rFonts w:asciiTheme="majorHAnsi" w:hAnsiTheme="majorHAnsi" w:cstheme="majorHAnsi"/>
        </w:rPr>
        <w:t xml:space="preserve">Figure </w:t>
      </w:r>
      <w:r w:rsidR="00B71781">
        <w:rPr>
          <w:rFonts w:asciiTheme="majorHAnsi" w:hAnsiTheme="majorHAnsi" w:cstheme="majorHAnsi"/>
        </w:rPr>
        <w:t>5</w:t>
      </w:r>
      <w:r w:rsidR="00FF1628">
        <w:rPr>
          <w:rFonts w:asciiTheme="majorHAnsi" w:hAnsiTheme="majorHAnsi" w:cstheme="majorHAnsi"/>
        </w:rPr>
        <w:fldChar w:fldCharType="end"/>
      </w:r>
      <w:r w:rsidR="00EF043A">
        <w:rPr>
          <w:rFonts w:asciiTheme="majorHAnsi" w:hAnsiTheme="majorHAnsi" w:cstheme="majorHAnsi"/>
        </w:rPr>
        <w:t>)</w:t>
      </w:r>
      <w:r w:rsidRPr="00647BB6">
        <w:rPr>
          <w:rFonts w:asciiTheme="majorHAnsi" w:hAnsiTheme="majorHAnsi" w:cstheme="majorHAnsi"/>
        </w:rPr>
        <w:t xml:space="preserve">. However, their overrepresentation among poor households suggests a higher vulnerability to poverty. Extended nuclear families (type ii) follow a similar pattern, representing </w:t>
      </w:r>
      <w:r w:rsidR="00150FAD">
        <w:rPr>
          <w:rFonts w:asciiTheme="majorHAnsi" w:hAnsiTheme="majorHAnsi" w:cstheme="majorHAnsi"/>
        </w:rPr>
        <w:t>19.0</w:t>
      </w:r>
      <w:r w:rsidR="00EA1CF4">
        <w:rPr>
          <w:rFonts w:asciiTheme="majorHAnsi" w:hAnsiTheme="majorHAnsi" w:cstheme="majorHAnsi"/>
        </w:rPr>
        <w:t xml:space="preserve"> percent</w:t>
      </w:r>
      <w:r w:rsidRPr="00647BB6">
        <w:rPr>
          <w:rFonts w:asciiTheme="majorHAnsi" w:hAnsiTheme="majorHAnsi" w:cstheme="majorHAnsi"/>
        </w:rPr>
        <w:t xml:space="preserve"> of poor households but only 1</w:t>
      </w:r>
      <w:r w:rsidR="00150FAD">
        <w:rPr>
          <w:rFonts w:asciiTheme="majorHAnsi" w:hAnsiTheme="majorHAnsi" w:cstheme="majorHAnsi"/>
        </w:rPr>
        <w:t>4.8</w:t>
      </w:r>
      <w:r w:rsidR="00EA1CF4">
        <w:rPr>
          <w:rFonts w:asciiTheme="majorHAnsi" w:hAnsiTheme="majorHAnsi" w:cstheme="majorHAnsi"/>
        </w:rPr>
        <w:t xml:space="preserve"> percent</w:t>
      </w:r>
      <w:r w:rsidRPr="00647BB6">
        <w:rPr>
          <w:rFonts w:asciiTheme="majorHAnsi" w:hAnsiTheme="majorHAnsi" w:cstheme="majorHAnsi"/>
        </w:rPr>
        <w:t xml:space="preserve"> of total households. Conversely, single adult households without children (type iv) and elderly households (type v) are underrepresented among the poor, comprising smaller shares of poor households (6.2</w:t>
      </w:r>
      <w:r w:rsidR="000A4E26">
        <w:rPr>
          <w:rFonts w:asciiTheme="majorHAnsi" w:hAnsiTheme="majorHAnsi" w:cstheme="majorHAnsi"/>
        </w:rPr>
        <w:t xml:space="preserve"> percent</w:t>
      </w:r>
      <w:r w:rsidRPr="00647BB6">
        <w:rPr>
          <w:rFonts w:asciiTheme="majorHAnsi" w:hAnsiTheme="majorHAnsi" w:cstheme="majorHAnsi"/>
        </w:rPr>
        <w:t xml:space="preserve"> and 9.8</w:t>
      </w:r>
      <w:r w:rsidR="000A4E26">
        <w:rPr>
          <w:rFonts w:asciiTheme="majorHAnsi" w:hAnsiTheme="majorHAnsi" w:cstheme="majorHAnsi"/>
        </w:rPr>
        <w:t xml:space="preserve"> percent,</w:t>
      </w:r>
      <w:r w:rsidRPr="00647BB6">
        <w:rPr>
          <w:rFonts w:asciiTheme="majorHAnsi" w:hAnsiTheme="majorHAnsi" w:cstheme="majorHAnsi"/>
        </w:rPr>
        <w:t xml:space="preserve"> respectively) than their shares in the total population (12.8</w:t>
      </w:r>
      <w:r w:rsidR="000A4E26">
        <w:rPr>
          <w:rFonts w:asciiTheme="majorHAnsi" w:hAnsiTheme="majorHAnsi" w:cstheme="majorHAnsi"/>
        </w:rPr>
        <w:t xml:space="preserve"> percent</w:t>
      </w:r>
      <w:r w:rsidRPr="00647BB6">
        <w:rPr>
          <w:rFonts w:asciiTheme="majorHAnsi" w:hAnsiTheme="majorHAnsi" w:cstheme="majorHAnsi"/>
        </w:rPr>
        <w:t xml:space="preserve"> and 11.0</w:t>
      </w:r>
      <w:r w:rsidR="000A4E26">
        <w:rPr>
          <w:rFonts w:asciiTheme="majorHAnsi" w:hAnsiTheme="majorHAnsi" w:cstheme="majorHAnsi"/>
        </w:rPr>
        <w:t xml:space="preserve"> percent,</w:t>
      </w:r>
      <w:r w:rsidRPr="00647BB6">
        <w:rPr>
          <w:rFonts w:asciiTheme="majorHAnsi" w:hAnsiTheme="majorHAnsi" w:cstheme="majorHAnsi"/>
        </w:rPr>
        <w:t xml:space="preserve"> respectively). Notably, single mother households (type iii) show a slight overrepresentation among the poor (6.6</w:t>
      </w:r>
      <w:r w:rsidR="000A4E26">
        <w:rPr>
          <w:rFonts w:asciiTheme="majorHAnsi" w:hAnsiTheme="majorHAnsi" w:cstheme="majorHAnsi"/>
        </w:rPr>
        <w:t xml:space="preserve"> percent</w:t>
      </w:r>
      <w:r w:rsidRPr="00647BB6">
        <w:rPr>
          <w:rFonts w:asciiTheme="majorHAnsi" w:hAnsiTheme="majorHAnsi" w:cstheme="majorHAnsi"/>
        </w:rPr>
        <w:t>) compared to their share in the total population (5.6</w:t>
      </w:r>
      <w:r w:rsidR="000A4E26">
        <w:rPr>
          <w:rFonts w:asciiTheme="majorHAnsi" w:hAnsiTheme="majorHAnsi" w:cstheme="majorHAnsi"/>
        </w:rPr>
        <w:t xml:space="preserve"> percent</w:t>
      </w:r>
      <w:r w:rsidRPr="00647BB6">
        <w:rPr>
          <w:rFonts w:asciiTheme="majorHAnsi" w:hAnsiTheme="majorHAnsi" w:cstheme="majorHAnsi"/>
        </w:rPr>
        <w:t>), highlighting potential gender-specific vulnerabilities.</w:t>
      </w:r>
    </w:p>
    <w:p w14:paraId="0B17D21B" w14:textId="77777777" w:rsidR="001B6739" w:rsidRDefault="001B6739" w:rsidP="00290D56">
      <w:pPr>
        <w:spacing w:after="0"/>
        <w:jc w:val="both"/>
        <w:rPr>
          <w:rFonts w:asciiTheme="majorHAnsi" w:hAnsiTheme="majorHAnsi" w:cstheme="majorHAnsi"/>
        </w:rPr>
      </w:pPr>
    </w:p>
    <w:p w14:paraId="7398BD83" w14:textId="77777777" w:rsidR="00290D56" w:rsidRDefault="00290D56" w:rsidP="00290D56">
      <w:pPr>
        <w:spacing w:after="0"/>
        <w:jc w:val="both"/>
        <w:rPr>
          <w:rFonts w:asciiTheme="majorHAnsi" w:hAnsiTheme="majorHAnsi" w:cstheme="majorHAnsi"/>
        </w:rPr>
      </w:pPr>
      <w:r w:rsidRPr="00E34320">
        <w:rPr>
          <w:rFonts w:asciiTheme="majorHAnsi" w:hAnsiTheme="majorHAnsi" w:cstheme="majorHAnsi"/>
        </w:rPr>
        <w:t xml:space="preserve">Household configurations incorporating children exhibit a disproportionate representation among </w:t>
      </w:r>
      <w:r>
        <w:rPr>
          <w:rFonts w:asciiTheme="majorHAnsi" w:hAnsiTheme="majorHAnsi" w:cstheme="majorHAnsi"/>
        </w:rPr>
        <w:t>poor</w:t>
      </w:r>
      <w:r w:rsidRPr="00E34320">
        <w:rPr>
          <w:rFonts w:asciiTheme="majorHAnsi" w:hAnsiTheme="majorHAnsi" w:cstheme="majorHAnsi"/>
        </w:rPr>
        <w:t xml:space="preserve"> households. Specifically, nuclear families with children, extended nuclear families, and other household structures including children constitute 75.3 percent of poor households, in contrast to their 55.7 percent share of the total household population. Conversely, households without children comprise only 24.9 percent of poor households despite representing 44.3 percent of the total household population. This disparity in representation suggests a significant correlation between the presence of children in a </w:t>
      </w:r>
      <w:r w:rsidRPr="00E34320">
        <w:rPr>
          <w:rFonts w:asciiTheme="majorHAnsi" w:hAnsiTheme="majorHAnsi" w:cstheme="majorHAnsi"/>
        </w:rPr>
        <w:lastRenderedPageBreak/>
        <w:t xml:space="preserve">household and an elevated probability of experiencing poverty. These findings underscore the critical role of household composition, particularly the presence of children, in shaping poverty dynamics. Moreover, they highlight the importance of considering household structure in poverty measurement methodologies, as aggregated household-level data may obscure important variations in individual welfare levels, especially in households with </w:t>
      </w:r>
      <w:r>
        <w:rPr>
          <w:rFonts w:asciiTheme="majorHAnsi" w:hAnsiTheme="majorHAnsi" w:cstheme="majorHAnsi"/>
        </w:rPr>
        <w:t>dependents</w:t>
      </w:r>
      <w:r w:rsidRPr="00E34320">
        <w:rPr>
          <w:rFonts w:asciiTheme="majorHAnsi" w:hAnsiTheme="majorHAnsi" w:cstheme="majorHAnsi"/>
        </w:rPr>
        <w:t>.</w:t>
      </w:r>
    </w:p>
    <w:p w14:paraId="5F23985B" w14:textId="77777777" w:rsidR="00290D56" w:rsidRDefault="00290D56" w:rsidP="00DD6555">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9350"/>
      </w:tblGrid>
      <w:tr w:rsidR="001B6739" w14:paraId="68346440" w14:textId="77777777" w:rsidTr="00781605">
        <w:tc>
          <w:tcPr>
            <w:tcW w:w="9350" w:type="dxa"/>
          </w:tcPr>
          <w:p w14:paraId="70939126" w14:textId="5247449F" w:rsidR="001B6739" w:rsidRDefault="001B6739" w:rsidP="00DD6555">
            <w:pPr>
              <w:jc w:val="both"/>
              <w:rPr>
                <w:rFonts w:asciiTheme="majorHAnsi" w:hAnsiTheme="majorHAnsi" w:cstheme="majorHAnsi"/>
              </w:rPr>
            </w:pPr>
            <w:bookmarkStart w:id="5" w:name="_Ref175135379"/>
            <w:r w:rsidRPr="00F80647">
              <w:rPr>
                <w:rFonts w:asciiTheme="majorHAnsi" w:hAnsiTheme="majorHAnsi" w:cstheme="majorHAnsi"/>
              </w:rPr>
              <w:t xml:space="preserve">Figure </w:t>
            </w:r>
            <w:r w:rsidRPr="00F80647">
              <w:rPr>
                <w:rFonts w:asciiTheme="majorHAnsi" w:hAnsiTheme="majorHAnsi" w:cstheme="majorHAnsi"/>
              </w:rPr>
              <w:fldChar w:fldCharType="begin"/>
            </w:r>
            <w:r w:rsidRPr="00F80647">
              <w:rPr>
                <w:rFonts w:asciiTheme="majorHAnsi" w:hAnsiTheme="majorHAnsi" w:cstheme="majorHAnsi"/>
              </w:rPr>
              <w:instrText xml:space="preserve"> SEQ Figure \* ARABIC </w:instrText>
            </w:r>
            <w:r w:rsidRPr="00F80647">
              <w:rPr>
                <w:rFonts w:asciiTheme="majorHAnsi" w:hAnsiTheme="majorHAnsi" w:cstheme="majorHAnsi"/>
              </w:rPr>
              <w:fldChar w:fldCharType="separate"/>
            </w:r>
            <w:r w:rsidR="00B71781">
              <w:rPr>
                <w:rFonts w:asciiTheme="majorHAnsi" w:hAnsiTheme="majorHAnsi" w:cstheme="majorHAnsi"/>
                <w:noProof/>
              </w:rPr>
              <w:t>5</w:t>
            </w:r>
            <w:r w:rsidRPr="00F80647">
              <w:rPr>
                <w:rFonts w:asciiTheme="majorHAnsi" w:hAnsiTheme="majorHAnsi" w:cstheme="majorHAnsi"/>
              </w:rPr>
              <w:fldChar w:fldCharType="end"/>
            </w:r>
            <w:bookmarkEnd w:id="5"/>
            <w:r w:rsidRPr="000A1880">
              <w:rPr>
                <w:rFonts w:asciiTheme="majorHAnsi" w:hAnsiTheme="majorHAnsi" w:cstheme="majorHAnsi"/>
              </w:rPr>
              <w:t>.</w:t>
            </w:r>
            <w:r w:rsidRPr="00BD3182">
              <w:rPr>
                <w:rFonts w:asciiTheme="majorHAnsi" w:hAnsiTheme="majorHAnsi" w:cstheme="majorHAnsi"/>
              </w:rPr>
              <w:t xml:space="preserve"> Distribution of households by demographic typology and poverty status</w:t>
            </w:r>
            <w:r>
              <w:rPr>
                <w:rFonts w:asciiTheme="majorHAnsi" w:hAnsiTheme="majorHAnsi" w:cstheme="majorHAnsi"/>
              </w:rPr>
              <w:t xml:space="preserve"> (%)</w:t>
            </w:r>
          </w:p>
        </w:tc>
      </w:tr>
      <w:tr w:rsidR="001B6739" w14:paraId="64D973A9" w14:textId="77777777" w:rsidTr="00781605">
        <w:tc>
          <w:tcPr>
            <w:tcW w:w="9350" w:type="dxa"/>
          </w:tcPr>
          <w:p w14:paraId="3CF6D86C" w14:textId="6D28C0E1" w:rsidR="001B6739" w:rsidRDefault="001B6739" w:rsidP="00DD6555">
            <w:pPr>
              <w:jc w:val="both"/>
              <w:rPr>
                <w:rFonts w:asciiTheme="majorHAnsi" w:hAnsiTheme="majorHAnsi" w:cstheme="majorHAnsi"/>
              </w:rPr>
            </w:pPr>
            <w:r>
              <w:rPr>
                <w:noProof/>
              </w:rPr>
              <w:drawing>
                <wp:inline distT="0" distB="0" distL="0" distR="0" wp14:anchorId="4F7C716C" wp14:editId="03DB5DAF">
                  <wp:extent cx="5591175" cy="3276600"/>
                  <wp:effectExtent l="0" t="0" r="0" b="0"/>
                  <wp:docPr id="13" name="Chart 13">
                    <a:extLst xmlns:a="http://schemas.openxmlformats.org/drawingml/2006/main">
                      <a:ext uri="{FF2B5EF4-FFF2-40B4-BE49-F238E27FC236}">
                        <a16:creationId xmlns:a16="http://schemas.microsoft.com/office/drawing/2014/main" id="{9146B730-D1F1-AF31-218E-D85C8E89B7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1B6739" w14:paraId="29D6E15D" w14:textId="77777777" w:rsidTr="00781605">
        <w:tc>
          <w:tcPr>
            <w:tcW w:w="9350" w:type="dxa"/>
          </w:tcPr>
          <w:p w14:paraId="0536FEBA" w14:textId="4A3C40EE" w:rsidR="001B6739" w:rsidRDefault="001B6739" w:rsidP="001B6739">
            <w:pPr>
              <w:jc w:val="both"/>
              <w:rPr>
                <w:rFonts w:asciiTheme="majorHAnsi" w:hAnsiTheme="majorHAnsi" w:cstheme="majorHAnsi"/>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698B890A" w14:textId="77777777" w:rsidR="00E34320" w:rsidRPr="00B51D6C" w:rsidRDefault="00E34320" w:rsidP="00DD6555">
      <w:pPr>
        <w:spacing w:after="0"/>
        <w:jc w:val="both"/>
        <w:rPr>
          <w:rFonts w:asciiTheme="majorHAnsi" w:hAnsiTheme="majorHAnsi" w:cstheme="majorHAnsi"/>
        </w:rPr>
      </w:pPr>
    </w:p>
    <w:p w14:paraId="542CDB56" w14:textId="0B3C630A" w:rsidR="001205F9" w:rsidRPr="00806F99" w:rsidRDefault="003E7F7F" w:rsidP="007240AB">
      <w:pPr>
        <w:pStyle w:val="Heading3"/>
      </w:pPr>
      <w:r>
        <w:t>H</w:t>
      </w:r>
      <w:r w:rsidR="00935E8C">
        <w:t>ousehold</w:t>
      </w:r>
      <w:r>
        <w:t xml:space="preserve">s with </w:t>
      </w:r>
      <w:r w:rsidR="00EA182C">
        <w:t>I</w:t>
      </w:r>
      <w:r>
        <w:t xml:space="preserve">ntensive </w:t>
      </w:r>
      <w:r w:rsidR="00EA182C">
        <w:t>C</w:t>
      </w:r>
      <w:r>
        <w:t xml:space="preserve">are </w:t>
      </w:r>
      <w:r w:rsidR="00EA182C">
        <w:t>N</w:t>
      </w:r>
      <w:r>
        <w:t>eeds</w:t>
      </w:r>
      <w:r w:rsidR="00103D67">
        <w:t xml:space="preserve"> </w:t>
      </w:r>
    </w:p>
    <w:p w14:paraId="13DEEF7F" w14:textId="77777777" w:rsidR="003D294B" w:rsidRDefault="003D294B" w:rsidP="003D294B">
      <w:pPr>
        <w:spacing w:after="0"/>
        <w:jc w:val="both"/>
        <w:rPr>
          <w:rFonts w:asciiTheme="majorHAnsi" w:hAnsiTheme="majorHAnsi" w:cstheme="majorHAnsi"/>
        </w:rPr>
      </w:pPr>
    </w:p>
    <w:p w14:paraId="2B723E9F" w14:textId="77777777" w:rsidR="00290D56" w:rsidRDefault="00C6381D" w:rsidP="003D294B">
      <w:pPr>
        <w:spacing w:after="0"/>
        <w:jc w:val="both"/>
        <w:rPr>
          <w:rFonts w:asciiTheme="majorHAnsi" w:hAnsiTheme="majorHAnsi" w:cstheme="majorHAnsi"/>
        </w:rPr>
      </w:pPr>
      <w:r>
        <w:rPr>
          <w:rFonts w:asciiTheme="majorHAnsi" w:hAnsiTheme="majorHAnsi" w:cstheme="majorHAnsi"/>
        </w:rPr>
        <w:t>We employ a</w:t>
      </w:r>
      <w:r w:rsidR="00DD78A4">
        <w:rPr>
          <w:rFonts w:asciiTheme="majorHAnsi" w:hAnsiTheme="majorHAnsi" w:cstheme="majorHAnsi"/>
        </w:rPr>
        <w:t>n</w:t>
      </w:r>
      <w:r>
        <w:rPr>
          <w:rFonts w:asciiTheme="majorHAnsi" w:hAnsiTheme="majorHAnsi" w:cstheme="majorHAnsi"/>
        </w:rPr>
        <w:t xml:space="preserve"> </w:t>
      </w:r>
      <w:r w:rsidR="00E423CA">
        <w:rPr>
          <w:rFonts w:asciiTheme="majorHAnsi" w:hAnsiTheme="majorHAnsi" w:cstheme="majorHAnsi"/>
        </w:rPr>
        <w:t xml:space="preserve">intensity-of-care household typology to capture the interplay between </w:t>
      </w:r>
      <w:r w:rsidR="009331B8">
        <w:rPr>
          <w:rFonts w:asciiTheme="majorHAnsi" w:hAnsiTheme="majorHAnsi" w:cstheme="majorHAnsi"/>
        </w:rPr>
        <w:t xml:space="preserve">the intensity of </w:t>
      </w:r>
      <w:r w:rsidR="00E423CA">
        <w:rPr>
          <w:rFonts w:asciiTheme="majorHAnsi" w:hAnsiTheme="majorHAnsi" w:cstheme="majorHAnsi"/>
        </w:rPr>
        <w:t xml:space="preserve">caregiving needs </w:t>
      </w:r>
      <w:r w:rsidR="00022884">
        <w:rPr>
          <w:rFonts w:asciiTheme="majorHAnsi" w:hAnsiTheme="majorHAnsi" w:cstheme="majorHAnsi"/>
        </w:rPr>
        <w:t xml:space="preserve">in the household, </w:t>
      </w:r>
      <w:r w:rsidR="00D67C3A">
        <w:rPr>
          <w:rFonts w:asciiTheme="majorHAnsi" w:hAnsiTheme="majorHAnsi" w:cstheme="majorHAnsi"/>
        </w:rPr>
        <w:t>and the</w:t>
      </w:r>
      <w:r w:rsidR="001A3620">
        <w:rPr>
          <w:rFonts w:asciiTheme="majorHAnsi" w:hAnsiTheme="majorHAnsi" w:cstheme="majorHAnsi"/>
        </w:rPr>
        <w:t xml:space="preserve"> time </w:t>
      </w:r>
      <w:r w:rsidR="001F027C">
        <w:rPr>
          <w:rFonts w:asciiTheme="majorHAnsi" w:hAnsiTheme="majorHAnsi" w:cstheme="majorHAnsi"/>
        </w:rPr>
        <w:t xml:space="preserve">devoted to caregiving </w:t>
      </w:r>
      <w:r w:rsidR="003F727F">
        <w:rPr>
          <w:rFonts w:asciiTheme="majorHAnsi" w:hAnsiTheme="majorHAnsi" w:cstheme="majorHAnsi"/>
        </w:rPr>
        <w:t>between adult members of the household</w:t>
      </w:r>
      <w:r w:rsidR="00034183">
        <w:rPr>
          <w:rFonts w:asciiTheme="majorHAnsi" w:hAnsiTheme="majorHAnsi" w:cstheme="majorHAnsi"/>
        </w:rPr>
        <w:t>.</w:t>
      </w:r>
      <w:r w:rsidR="002D31AA">
        <w:rPr>
          <w:rFonts w:asciiTheme="majorHAnsi" w:hAnsiTheme="majorHAnsi" w:cstheme="majorHAnsi"/>
        </w:rPr>
        <w:t xml:space="preserve"> </w:t>
      </w:r>
      <w:r w:rsidR="00BC717B">
        <w:rPr>
          <w:rFonts w:asciiTheme="majorHAnsi" w:hAnsiTheme="majorHAnsi" w:cstheme="majorHAnsi"/>
        </w:rPr>
        <w:t>This typology recognizes that time is a resource</w:t>
      </w:r>
      <w:r w:rsidR="00FF3A83">
        <w:rPr>
          <w:rFonts w:asciiTheme="majorHAnsi" w:hAnsiTheme="majorHAnsi" w:cstheme="majorHAnsi"/>
        </w:rPr>
        <w:t xml:space="preserve"> that can be devoted to paid and unpaid work as well as to personal activities (e.g., </w:t>
      </w:r>
      <w:r w:rsidR="00703E94">
        <w:rPr>
          <w:rFonts w:asciiTheme="majorHAnsi" w:hAnsiTheme="majorHAnsi" w:cstheme="majorHAnsi"/>
        </w:rPr>
        <w:t>leisure</w:t>
      </w:r>
      <w:r w:rsidR="00FF3A83">
        <w:rPr>
          <w:rFonts w:asciiTheme="majorHAnsi" w:hAnsiTheme="majorHAnsi" w:cstheme="majorHAnsi"/>
        </w:rPr>
        <w:t>).</w:t>
      </w:r>
      <w:r w:rsidR="00A50965">
        <w:rPr>
          <w:rFonts w:asciiTheme="majorHAnsi" w:hAnsiTheme="majorHAnsi" w:cstheme="majorHAnsi"/>
        </w:rPr>
        <w:t xml:space="preserve"> </w:t>
      </w:r>
      <w:r w:rsidR="00A50965" w:rsidRPr="00D8041E">
        <w:rPr>
          <w:rFonts w:asciiTheme="majorHAnsi" w:hAnsiTheme="majorHAnsi" w:cstheme="majorHAnsi"/>
        </w:rPr>
        <w:t xml:space="preserve">Gender differences in </w:t>
      </w:r>
      <w:r w:rsidR="00A50965">
        <w:rPr>
          <w:rFonts w:asciiTheme="majorHAnsi" w:hAnsiTheme="majorHAnsi" w:cstheme="majorHAnsi"/>
        </w:rPr>
        <w:t xml:space="preserve">time allocated, particularly to </w:t>
      </w:r>
      <w:r w:rsidR="002A24DD">
        <w:rPr>
          <w:rFonts w:asciiTheme="majorHAnsi" w:hAnsiTheme="majorHAnsi" w:cstheme="majorHAnsi"/>
        </w:rPr>
        <w:t>paid and unpaid work</w:t>
      </w:r>
      <w:r w:rsidR="00A50965">
        <w:rPr>
          <w:rFonts w:asciiTheme="majorHAnsi" w:hAnsiTheme="majorHAnsi" w:cstheme="majorHAnsi"/>
        </w:rPr>
        <w:t>,</w:t>
      </w:r>
      <w:r w:rsidR="00A50965" w:rsidRPr="00D8041E">
        <w:rPr>
          <w:rFonts w:asciiTheme="majorHAnsi" w:hAnsiTheme="majorHAnsi" w:cstheme="majorHAnsi"/>
        </w:rPr>
        <w:t xml:space="preserve"> translate into differences in the capacity of women and men to engage in market-oriented activities as wage employment</w:t>
      </w:r>
      <w:r w:rsidR="0063368A">
        <w:rPr>
          <w:rFonts w:asciiTheme="majorHAnsi" w:hAnsiTheme="majorHAnsi" w:cstheme="majorHAnsi"/>
        </w:rPr>
        <w:t xml:space="preserve"> (World Bank, 2012)</w:t>
      </w:r>
      <w:r w:rsidR="00D91753">
        <w:rPr>
          <w:rFonts w:asciiTheme="majorHAnsi" w:hAnsiTheme="majorHAnsi" w:cstheme="majorHAnsi"/>
        </w:rPr>
        <w:t>.</w:t>
      </w:r>
      <w:r w:rsidR="00290D56">
        <w:rPr>
          <w:rFonts w:asciiTheme="majorHAnsi" w:hAnsiTheme="majorHAnsi" w:cstheme="majorHAnsi"/>
        </w:rPr>
        <w:t xml:space="preserve"> </w:t>
      </w:r>
    </w:p>
    <w:p w14:paraId="1DA38362" w14:textId="77777777" w:rsidR="00290D56" w:rsidRDefault="00290D56" w:rsidP="003D294B">
      <w:pPr>
        <w:spacing w:after="0"/>
        <w:jc w:val="both"/>
        <w:rPr>
          <w:rFonts w:asciiTheme="majorHAnsi" w:hAnsiTheme="majorHAnsi" w:cstheme="majorHAnsi"/>
        </w:rPr>
      </w:pPr>
    </w:p>
    <w:p w14:paraId="7A591F0F" w14:textId="58D9266A" w:rsidR="00DF6808" w:rsidRDefault="00D667CF" w:rsidP="003D294B">
      <w:pPr>
        <w:spacing w:after="0"/>
        <w:jc w:val="both"/>
        <w:rPr>
          <w:rFonts w:asciiTheme="majorHAnsi" w:hAnsiTheme="majorHAnsi" w:cstheme="majorHAnsi"/>
        </w:rPr>
      </w:pPr>
      <w:r>
        <w:rPr>
          <w:rFonts w:asciiTheme="majorHAnsi" w:hAnsiTheme="majorHAnsi" w:cstheme="majorHAnsi"/>
        </w:rPr>
        <w:t>For this purpose, we define households by the presence of a (care-) dependent</w:t>
      </w:r>
      <w:r w:rsidR="00530454">
        <w:rPr>
          <w:rFonts w:asciiTheme="majorHAnsi" w:hAnsiTheme="majorHAnsi" w:cstheme="majorHAnsi"/>
        </w:rPr>
        <w:t xml:space="preserve"> member</w:t>
      </w:r>
      <w:r>
        <w:rPr>
          <w:rFonts w:asciiTheme="majorHAnsi" w:hAnsiTheme="majorHAnsi" w:cstheme="majorHAnsi"/>
        </w:rPr>
        <w:t xml:space="preserve">, this is, a member whose need for care </w:t>
      </w:r>
      <w:r w:rsidR="006025A7">
        <w:rPr>
          <w:rFonts w:asciiTheme="majorHAnsi" w:hAnsiTheme="majorHAnsi" w:cstheme="majorHAnsi"/>
        </w:rPr>
        <w:t>has a higher intensity</w:t>
      </w:r>
      <w:r>
        <w:rPr>
          <w:rFonts w:asciiTheme="majorHAnsi" w:hAnsiTheme="majorHAnsi" w:cstheme="majorHAnsi"/>
        </w:rPr>
        <w:t xml:space="preserve"> than for other members. </w:t>
      </w:r>
      <w:r w:rsidR="002A08F0">
        <w:rPr>
          <w:rFonts w:asciiTheme="majorHAnsi" w:hAnsiTheme="majorHAnsi" w:cstheme="majorHAnsi"/>
        </w:rPr>
        <w:t>A</w:t>
      </w:r>
      <w:r>
        <w:rPr>
          <w:rFonts w:asciiTheme="majorHAnsi" w:hAnsiTheme="majorHAnsi" w:cstheme="majorHAnsi"/>
        </w:rPr>
        <w:t xml:space="preserve"> </w:t>
      </w:r>
      <w:r w:rsidR="002A08F0">
        <w:rPr>
          <w:rFonts w:asciiTheme="majorHAnsi" w:hAnsiTheme="majorHAnsi" w:cstheme="majorHAnsi"/>
        </w:rPr>
        <w:t>(care-)</w:t>
      </w:r>
      <w:r>
        <w:rPr>
          <w:rFonts w:asciiTheme="majorHAnsi" w:hAnsiTheme="majorHAnsi" w:cstheme="majorHAnsi"/>
        </w:rPr>
        <w:t xml:space="preserve">dependent refers to a child in the 0-5 age group, or a senior adult </w:t>
      </w:r>
      <w:r w:rsidR="00BB19E0">
        <w:rPr>
          <w:rFonts w:asciiTheme="majorHAnsi" w:hAnsiTheme="majorHAnsi" w:cstheme="majorHAnsi"/>
        </w:rPr>
        <w:t>aged</w:t>
      </w:r>
      <w:r>
        <w:rPr>
          <w:rFonts w:asciiTheme="majorHAnsi" w:hAnsiTheme="majorHAnsi" w:cstheme="majorHAnsi"/>
        </w:rPr>
        <w:t xml:space="preserve"> </w:t>
      </w:r>
      <w:r w:rsidR="00E47B3C">
        <w:rPr>
          <w:rFonts w:asciiTheme="majorHAnsi" w:hAnsiTheme="majorHAnsi" w:cstheme="majorHAnsi"/>
        </w:rPr>
        <w:t>7</w:t>
      </w:r>
      <w:r>
        <w:rPr>
          <w:rFonts w:asciiTheme="majorHAnsi" w:hAnsiTheme="majorHAnsi" w:cstheme="majorHAnsi"/>
        </w:rPr>
        <w:t>5+, or a member who, regardless of her age, has a disability.</w:t>
      </w:r>
      <w:r>
        <w:rPr>
          <w:rStyle w:val="FootnoteReference"/>
          <w:rFonts w:asciiTheme="majorHAnsi" w:hAnsiTheme="majorHAnsi" w:cstheme="majorHAnsi"/>
        </w:rPr>
        <w:footnoteReference w:id="4"/>
      </w:r>
      <w:r>
        <w:rPr>
          <w:rFonts w:asciiTheme="majorHAnsi" w:hAnsiTheme="majorHAnsi" w:cstheme="majorHAnsi"/>
        </w:rPr>
        <w:t xml:space="preserve"> </w:t>
      </w:r>
      <w:r w:rsidR="00B87BFE">
        <w:rPr>
          <w:rFonts w:asciiTheme="majorHAnsi" w:hAnsiTheme="majorHAnsi" w:cstheme="majorHAnsi"/>
        </w:rPr>
        <w:t>As such, t</w:t>
      </w:r>
      <w:r w:rsidR="005C59B3">
        <w:rPr>
          <w:rFonts w:asciiTheme="majorHAnsi" w:hAnsiTheme="majorHAnsi" w:cstheme="majorHAnsi"/>
        </w:rPr>
        <w:t>his typology</w:t>
      </w:r>
      <w:r w:rsidR="00DF6808">
        <w:rPr>
          <w:rFonts w:asciiTheme="majorHAnsi" w:hAnsiTheme="majorHAnsi" w:cstheme="majorHAnsi"/>
        </w:rPr>
        <w:t xml:space="preserve"> comprises four main </w:t>
      </w:r>
      <w:r w:rsidR="00054943">
        <w:rPr>
          <w:rFonts w:asciiTheme="majorHAnsi" w:hAnsiTheme="majorHAnsi" w:cstheme="majorHAnsi"/>
        </w:rPr>
        <w:t>categories</w:t>
      </w:r>
      <w:r w:rsidR="002D31AA">
        <w:rPr>
          <w:rFonts w:asciiTheme="majorHAnsi" w:hAnsiTheme="majorHAnsi" w:cstheme="majorHAnsi"/>
        </w:rPr>
        <w:t>:</w:t>
      </w:r>
    </w:p>
    <w:p w14:paraId="67722291" w14:textId="77777777" w:rsidR="00B87BFE" w:rsidRPr="003D294B" w:rsidRDefault="00B87BFE" w:rsidP="003D294B">
      <w:pPr>
        <w:spacing w:after="0"/>
        <w:jc w:val="both"/>
        <w:rPr>
          <w:rFonts w:asciiTheme="majorHAnsi" w:hAnsiTheme="majorHAnsi" w:cstheme="majorHAnsi"/>
        </w:rPr>
      </w:pPr>
    </w:p>
    <w:p w14:paraId="57E74BC8" w14:textId="63F40A21" w:rsidR="001205F9" w:rsidRPr="00E2214B" w:rsidRDefault="001205F9" w:rsidP="00B10520">
      <w:pPr>
        <w:pStyle w:val="ListParagraph"/>
        <w:numPr>
          <w:ilvl w:val="0"/>
          <w:numId w:val="5"/>
        </w:numPr>
        <w:spacing w:after="0"/>
        <w:jc w:val="both"/>
        <w:rPr>
          <w:rFonts w:asciiTheme="majorHAnsi" w:hAnsiTheme="majorHAnsi" w:cstheme="majorHAnsi"/>
        </w:rPr>
      </w:pPr>
      <w:r w:rsidRPr="00E2214B">
        <w:rPr>
          <w:rFonts w:asciiTheme="majorHAnsi" w:hAnsiTheme="majorHAnsi" w:cstheme="majorHAnsi"/>
        </w:rPr>
        <w:t xml:space="preserve">Single mother with </w:t>
      </w:r>
      <w:r w:rsidR="002D31AA">
        <w:rPr>
          <w:rFonts w:asciiTheme="majorHAnsi" w:hAnsiTheme="majorHAnsi" w:cstheme="majorHAnsi"/>
        </w:rPr>
        <w:t>at least one</w:t>
      </w:r>
      <w:r w:rsidRPr="00E2214B">
        <w:rPr>
          <w:rFonts w:asciiTheme="majorHAnsi" w:hAnsiTheme="majorHAnsi" w:cstheme="majorHAnsi"/>
        </w:rPr>
        <w:t xml:space="preserve"> </w:t>
      </w:r>
      <w:r w:rsidR="00BF24F6">
        <w:rPr>
          <w:rFonts w:asciiTheme="majorHAnsi" w:hAnsiTheme="majorHAnsi" w:cstheme="majorHAnsi"/>
        </w:rPr>
        <w:t>care-</w:t>
      </w:r>
      <w:r w:rsidRPr="00E2214B">
        <w:rPr>
          <w:rFonts w:asciiTheme="majorHAnsi" w:hAnsiTheme="majorHAnsi" w:cstheme="majorHAnsi"/>
        </w:rPr>
        <w:t>dependent</w:t>
      </w:r>
      <w:r w:rsidR="007A26FB">
        <w:rPr>
          <w:rFonts w:asciiTheme="majorHAnsi" w:hAnsiTheme="majorHAnsi" w:cstheme="majorHAnsi"/>
        </w:rPr>
        <w:t>;</w:t>
      </w:r>
    </w:p>
    <w:p w14:paraId="5F5313D1" w14:textId="12CD19DA" w:rsidR="001205F9" w:rsidRPr="00E2214B" w:rsidRDefault="001205F9" w:rsidP="00B10520">
      <w:pPr>
        <w:pStyle w:val="ListParagraph"/>
        <w:numPr>
          <w:ilvl w:val="0"/>
          <w:numId w:val="5"/>
        </w:numPr>
        <w:spacing w:after="0"/>
        <w:jc w:val="both"/>
        <w:rPr>
          <w:rFonts w:asciiTheme="majorHAnsi" w:hAnsiTheme="majorHAnsi" w:cstheme="majorHAnsi"/>
        </w:rPr>
      </w:pPr>
      <w:r w:rsidRPr="00E2214B">
        <w:rPr>
          <w:rFonts w:asciiTheme="majorHAnsi" w:hAnsiTheme="majorHAnsi" w:cstheme="majorHAnsi"/>
        </w:rPr>
        <w:t xml:space="preserve">Couple with </w:t>
      </w:r>
      <w:r w:rsidR="002D31AA">
        <w:rPr>
          <w:rFonts w:asciiTheme="majorHAnsi" w:hAnsiTheme="majorHAnsi" w:cstheme="majorHAnsi"/>
        </w:rPr>
        <w:t>at least one</w:t>
      </w:r>
      <w:r w:rsidRPr="00E2214B">
        <w:rPr>
          <w:rFonts w:asciiTheme="majorHAnsi" w:hAnsiTheme="majorHAnsi" w:cstheme="majorHAnsi"/>
        </w:rPr>
        <w:t xml:space="preserve"> </w:t>
      </w:r>
      <w:r w:rsidR="00BF24F6">
        <w:rPr>
          <w:rFonts w:asciiTheme="majorHAnsi" w:hAnsiTheme="majorHAnsi" w:cstheme="majorHAnsi"/>
        </w:rPr>
        <w:t>care-</w:t>
      </w:r>
      <w:r w:rsidRPr="00E2214B">
        <w:rPr>
          <w:rFonts w:asciiTheme="majorHAnsi" w:hAnsiTheme="majorHAnsi" w:cstheme="majorHAnsi"/>
        </w:rPr>
        <w:t>dependent</w:t>
      </w:r>
      <w:r w:rsidR="007A26FB">
        <w:rPr>
          <w:rFonts w:asciiTheme="majorHAnsi" w:hAnsiTheme="majorHAnsi" w:cstheme="majorHAnsi"/>
        </w:rPr>
        <w:t>;</w:t>
      </w:r>
    </w:p>
    <w:p w14:paraId="112C22CD" w14:textId="72A1394F" w:rsidR="001205F9" w:rsidRPr="00E2214B" w:rsidRDefault="001205F9" w:rsidP="00B10520">
      <w:pPr>
        <w:pStyle w:val="ListParagraph"/>
        <w:numPr>
          <w:ilvl w:val="0"/>
          <w:numId w:val="5"/>
        </w:numPr>
        <w:spacing w:after="0"/>
        <w:jc w:val="both"/>
        <w:rPr>
          <w:rFonts w:asciiTheme="majorHAnsi" w:hAnsiTheme="majorHAnsi" w:cstheme="majorHAnsi"/>
        </w:rPr>
      </w:pPr>
      <w:r w:rsidRPr="00E2214B">
        <w:rPr>
          <w:rFonts w:asciiTheme="majorHAnsi" w:hAnsiTheme="majorHAnsi" w:cstheme="majorHAnsi"/>
        </w:rPr>
        <w:t xml:space="preserve">Other households with </w:t>
      </w:r>
      <w:r w:rsidR="002D31AA">
        <w:rPr>
          <w:rFonts w:asciiTheme="majorHAnsi" w:hAnsiTheme="majorHAnsi" w:cstheme="majorHAnsi"/>
        </w:rPr>
        <w:t>at least one</w:t>
      </w:r>
      <w:r w:rsidRPr="00E2214B">
        <w:rPr>
          <w:rFonts w:asciiTheme="majorHAnsi" w:hAnsiTheme="majorHAnsi" w:cstheme="majorHAnsi"/>
        </w:rPr>
        <w:t xml:space="preserve"> </w:t>
      </w:r>
      <w:r w:rsidR="00BF24F6">
        <w:rPr>
          <w:rFonts w:asciiTheme="majorHAnsi" w:hAnsiTheme="majorHAnsi" w:cstheme="majorHAnsi"/>
        </w:rPr>
        <w:t>care-</w:t>
      </w:r>
      <w:r w:rsidRPr="00E2214B">
        <w:rPr>
          <w:rFonts w:asciiTheme="majorHAnsi" w:hAnsiTheme="majorHAnsi" w:cstheme="majorHAnsi"/>
        </w:rPr>
        <w:t>dependent</w:t>
      </w:r>
      <w:r w:rsidR="007A26FB">
        <w:rPr>
          <w:rFonts w:asciiTheme="majorHAnsi" w:hAnsiTheme="majorHAnsi" w:cstheme="majorHAnsi"/>
        </w:rPr>
        <w:t>;</w:t>
      </w:r>
    </w:p>
    <w:p w14:paraId="653FDF33" w14:textId="48D247B6" w:rsidR="001205F9" w:rsidRDefault="001205F9" w:rsidP="00B10520">
      <w:pPr>
        <w:pStyle w:val="ListParagraph"/>
        <w:numPr>
          <w:ilvl w:val="0"/>
          <w:numId w:val="5"/>
        </w:numPr>
        <w:spacing w:after="0"/>
        <w:jc w:val="both"/>
        <w:rPr>
          <w:rFonts w:asciiTheme="majorHAnsi" w:hAnsiTheme="majorHAnsi" w:cstheme="majorHAnsi"/>
        </w:rPr>
      </w:pPr>
      <w:r w:rsidRPr="00E2214B">
        <w:rPr>
          <w:rFonts w:asciiTheme="majorHAnsi" w:hAnsiTheme="majorHAnsi" w:cstheme="majorHAnsi"/>
        </w:rPr>
        <w:t xml:space="preserve">Households without </w:t>
      </w:r>
      <w:r w:rsidR="002D31AA">
        <w:rPr>
          <w:rFonts w:asciiTheme="majorHAnsi" w:hAnsiTheme="majorHAnsi" w:cstheme="majorHAnsi"/>
        </w:rPr>
        <w:t xml:space="preserve">presence of </w:t>
      </w:r>
      <w:r w:rsidR="00BF24F6">
        <w:rPr>
          <w:rFonts w:asciiTheme="majorHAnsi" w:hAnsiTheme="majorHAnsi" w:cstheme="majorHAnsi"/>
        </w:rPr>
        <w:t>care-</w:t>
      </w:r>
      <w:r w:rsidRPr="00E2214B">
        <w:rPr>
          <w:rFonts w:asciiTheme="majorHAnsi" w:hAnsiTheme="majorHAnsi" w:cstheme="majorHAnsi"/>
        </w:rPr>
        <w:t>dependents</w:t>
      </w:r>
      <w:r w:rsidR="00935E8C">
        <w:rPr>
          <w:rFonts w:asciiTheme="majorHAnsi" w:hAnsiTheme="majorHAnsi" w:cstheme="majorHAnsi"/>
        </w:rPr>
        <w:t>.</w:t>
      </w:r>
    </w:p>
    <w:p w14:paraId="16AEDD4F" w14:textId="77777777" w:rsidR="005C59B3" w:rsidRDefault="005C59B3" w:rsidP="00A117AA">
      <w:pPr>
        <w:spacing w:after="0"/>
        <w:jc w:val="both"/>
        <w:rPr>
          <w:rFonts w:asciiTheme="majorHAnsi" w:hAnsiTheme="majorHAnsi" w:cstheme="majorHAnsi"/>
        </w:rPr>
      </w:pPr>
    </w:p>
    <w:p w14:paraId="4372C15D" w14:textId="11D5F42D" w:rsidR="00A117AA" w:rsidRDefault="00DB2912" w:rsidP="00A117AA">
      <w:pPr>
        <w:spacing w:after="0"/>
        <w:jc w:val="both"/>
        <w:rPr>
          <w:rFonts w:asciiTheme="majorHAnsi" w:hAnsiTheme="majorHAnsi" w:cstheme="majorHAnsi"/>
        </w:rPr>
      </w:pPr>
      <w:r>
        <w:rPr>
          <w:rFonts w:asciiTheme="majorHAnsi" w:hAnsiTheme="majorHAnsi" w:cstheme="majorHAnsi"/>
        </w:rPr>
        <w:t>Unpaid care work remains a key constraint on women’s participation in income-generating activities</w:t>
      </w:r>
      <w:r w:rsidR="009033CF">
        <w:rPr>
          <w:rFonts w:asciiTheme="majorHAnsi" w:hAnsiTheme="majorHAnsi" w:cstheme="majorHAnsi"/>
        </w:rPr>
        <w:t xml:space="preserve"> and </w:t>
      </w:r>
      <w:r w:rsidR="004F2130">
        <w:rPr>
          <w:rFonts w:asciiTheme="majorHAnsi" w:hAnsiTheme="majorHAnsi" w:cstheme="majorHAnsi"/>
        </w:rPr>
        <w:t>ultimately a limiting factor in the household’s income generati</w:t>
      </w:r>
      <w:r w:rsidR="00A7284A">
        <w:rPr>
          <w:rFonts w:asciiTheme="majorHAnsi" w:hAnsiTheme="majorHAnsi" w:cstheme="majorHAnsi"/>
        </w:rPr>
        <w:t>ng capacity</w:t>
      </w:r>
      <w:r>
        <w:rPr>
          <w:rFonts w:asciiTheme="majorHAnsi" w:hAnsiTheme="majorHAnsi" w:cstheme="majorHAnsi"/>
        </w:rPr>
        <w:t xml:space="preserve"> (OECD, 2019). More so, considering the lesser extent to which men perform this type of unpaid work. On the other hand, w</w:t>
      </w:r>
      <w:r w:rsidRPr="00E87F58">
        <w:rPr>
          <w:rFonts w:asciiTheme="majorHAnsi" w:hAnsiTheme="majorHAnsi" w:cstheme="majorHAnsi"/>
        </w:rPr>
        <w:t>omen are better able to participate in the lab</w:t>
      </w:r>
      <w:r>
        <w:rPr>
          <w:rFonts w:asciiTheme="majorHAnsi" w:hAnsiTheme="majorHAnsi" w:cstheme="majorHAnsi"/>
        </w:rPr>
        <w:t>o</w:t>
      </w:r>
      <w:r w:rsidRPr="00E87F58">
        <w:rPr>
          <w:rFonts w:asciiTheme="majorHAnsi" w:hAnsiTheme="majorHAnsi" w:cstheme="majorHAnsi"/>
        </w:rPr>
        <w:t xml:space="preserve">r market where working-time arrangements are </w:t>
      </w:r>
      <w:r>
        <w:rPr>
          <w:rFonts w:asciiTheme="majorHAnsi" w:hAnsiTheme="majorHAnsi" w:cstheme="majorHAnsi"/>
        </w:rPr>
        <w:t>in place.</w:t>
      </w:r>
      <w:r>
        <w:rPr>
          <w:rStyle w:val="FootnoteReference"/>
          <w:rFonts w:asciiTheme="majorHAnsi" w:hAnsiTheme="majorHAnsi" w:cstheme="majorHAnsi"/>
        </w:rPr>
        <w:footnoteReference w:id="5"/>
      </w:r>
      <w:r>
        <w:rPr>
          <w:rFonts w:asciiTheme="majorHAnsi" w:hAnsiTheme="majorHAnsi" w:cstheme="majorHAnsi"/>
        </w:rPr>
        <w:t xml:space="preserve"> As such, t</w:t>
      </w:r>
      <w:r w:rsidR="005C59B3">
        <w:rPr>
          <w:rFonts w:asciiTheme="majorHAnsi" w:hAnsiTheme="majorHAnsi" w:cstheme="majorHAnsi"/>
        </w:rPr>
        <w:t xml:space="preserve">his classification serves as a proxy </w:t>
      </w:r>
      <w:r w:rsidR="00530454">
        <w:rPr>
          <w:rFonts w:asciiTheme="majorHAnsi" w:hAnsiTheme="majorHAnsi" w:cstheme="majorHAnsi"/>
        </w:rPr>
        <w:t>of</w:t>
      </w:r>
      <w:r w:rsidR="00E04DDC">
        <w:rPr>
          <w:rFonts w:asciiTheme="majorHAnsi" w:hAnsiTheme="majorHAnsi" w:cstheme="majorHAnsi"/>
        </w:rPr>
        <w:t xml:space="preserve"> the</w:t>
      </w:r>
      <w:r w:rsidR="00530454">
        <w:rPr>
          <w:rFonts w:asciiTheme="majorHAnsi" w:hAnsiTheme="majorHAnsi" w:cstheme="majorHAnsi"/>
        </w:rPr>
        <w:t xml:space="preserve"> </w:t>
      </w:r>
      <w:r w:rsidR="005C59B3">
        <w:rPr>
          <w:rFonts w:asciiTheme="majorHAnsi" w:hAnsiTheme="majorHAnsi" w:cstheme="majorHAnsi"/>
        </w:rPr>
        <w:t>time allocated to care and household work</w:t>
      </w:r>
      <w:r w:rsidR="00530454">
        <w:rPr>
          <w:rFonts w:asciiTheme="majorHAnsi" w:hAnsiTheme="majorHAnsi" w:cstheme="majorHAnsi"/>
        </w:rPr>
        <w:t>,</w:t>
      </w:r>
      <w:r w:rsidR="005C59B3">
        <w:rPr>
          <w:rFonts w:asciiTheme="majorHAnsi" w:hAnsiTheme="majorHAnsi" w:cstheme="majorHAnsi"/>
        </w:rPr>
        <w:t xml:space="preserve"> potential disparities </w:t>
      </w:r>
      <w:r w:rsidR="00530454">
        <w:rPr>
          <w:rFonts w:asciiTheme="majorHAnsi" w:hAnsiTheme="majorHAnsi" w:cstheme="majorHAnsi"/>
        </w:rPr>
        <w:t xml:space="preserve">in time allocation </w:t>
      </w:r>
      <w:r w:rsidR="005C59B3">
        <w:rPr>
          <w:rFonts w:asciiTheme="majorHAnsi" w:hAnsiTheme="majorHAnsi" w:cstheme="majorHAnsi"/>
        </w:rPr>
        <w:t xml:space="preserve">against women living in </w:t>
      </w:r>
      <w:r w:rsidR="00530454">
        <w:rPr>
          <w:rFonts w:asciiTheme="majorHAnsi" w:hAnsiTheme="majorHAnsi" w:cstheme="majorHAnsi"/>
        </w:rPr>
        <w:t>these types of</w:t>
      </w:r>
      <w:r w:rsidR="005C59B3">
        <w:rPr>
          <w:rFonts w:asciiTheme="majorHAnsi" w:hAnsiTheme="majorHAnsi" w:cstheme="majorHAnsi"/>
        </w:rPr>
        <w:t xml:space="preserve"> household</w:t>
      </w:r>
      <w:r w:rsidR="00445CCB">
        <w:rPr>
          <w:rFonts w:asciiTheme="majorHAnsi" w:hAnsiTheme="majorHAnsi" w:cstheme="majorHAnsi"/>
        </w:rPr>
        <w:t>s,</w:t>
      </w:r>
      <w:r w:rsidR="005C59B3">
        <w:rPr>
          <w:rFonts w:asciiTheme="majorHAnsi" w:hAnsiTheme="majorHAnsi" w:cstheme="majorHAnsi"/>
        </w:rPr>
        <w:t xml:space="preserve"> </w:t>
      </w:r>
      <w:r w:rsidR="00445CCB">
        <w:rPr>
          <w:rFonts w:asciiTheme="majorHAnsi" w:hAnsiTheme="majorHAnsi" w:cstheme="majorHAnsi"/>
        </w:rPr>
        <w:t>and</w:t>
      </w:r>
      <w:r w:rsidR="005C59B3">
        <w:rPr>
          <w:rFonts w:asciiTheme="majorHAnsi" w:hAnsiTheme="majorHAnsi" w:cstheme="majorHAnsi"/>
        </w:rPr>
        <w:t xml:space="preserve"> support</w:t>
      </w:r>
      <w:r w:rsidR="00445CCB">
        <w:rPr>
          <w:rFonts w:asciiTheme="majorHAnsi" w:hAnsiTheme="majorHAnsi" w:cstheme="majorHAnsi"/>
        </w:rPr>
        <w:t xml:space="preserve"> for care work</w:t>
      </w:r>
      <w:r w:rsidR="005C59B3">
        <w:rPr>
          <w:rFonts w:asciiTheme="majorHAnsi" w:hAnsiTheme="majorHAnsi" w:cstheme="majorHAnsi"/>
        </w:rPr>
        <w:t xml:space="preserve"> they</w:t>
      </w:r>
      <w:r w:rsidR="00445CCB">
        <w:rPr>
          <w:rFonts w:asciiTheme="majorHAnsi" w:hAnsiTheme="majorHAnsi" w:cstheme="majorHAnsi"/>
        </w:rPr>
        <w:t xml:space="preserve"> might</w:t>
      </w:r>
      <w:r w:rsidR="005C59B3">
        <w:rPr>
          <w:rFonts w:asciiTheme="majorHAnsi" w:hAnsiTheme="majorHAnsi" w:cstheme="majorHAnsi"/>
        </w:rPr>
        <w:t xml:space="preserve"> receive from other members in the</w:t>
      </w:r>
      <w:r w:rsidR="00E04DDC">
        <w:rPr>
          <w:rFonts w:asciiTheme="majorHAnsi" w:hAnsiTheme="majorHAnsi" w:cstheme="majorHAnsi"/>
        </w:rPr>
        <w:t xml:space="preserve"> same</w:t>
      </w:r>
      <w:r w:rsidR="005C59B3">
        <w:rPr>
          <w:rFonts w:asciiTheme="majorHAnsi" w:hAnsiTheme="majorHAnsi" w:cstheme="majorHAnsi"/>
        </w:rPr>
        <w:t xml:space="preserve"> household.</w:t>
      </w:r>
      <w:r w:rsidR="00306C23">
        <w:rPr>
          <w:rFonts w:asciiTheme="majorHAnsi" w:hAnsiTheme="majorHAnsi" w:cstheme="majorHAnsi"/>
        </w:rPr>
        <w:t xml:space="preserve"> </w:t>
      </w:r>
      <w:r w:rsidR="001244C1">
        <w:rPr>
          <w:rFonts w:asciiTheme="majorHAnsi" w:hAnsiTheme="majorHAnsi" w:cstheme="majorHAnsi"/>
        </w:rPr>
        <w:t xml:space="preserve">It incorporates critical aspects such as the presence of young children, which has been demonstrated to increase the likelihood </w:t>
      </w:r>
      <w:r w:rsidR="00EE7C05">
        <w:rPr>
          <w:rFonts w:asciiTheme="majorHAnsi" w:hAnsiTheme="majorHAnsi" w:cstheme="majorHAnsi"/>
        </w:rPr>
        <w:t xml:space="preserve">of living in poverty for </w:t>
      </w:r>
      <w:r w:rsidR="001244C1">
        <w:rPr>
          <w:rFonts w:asciiTheme="majorHAnsi" w:hAnsiTheme="majorHAnsi" w:cstheme="majorHAnsi"/>
        </w:rPr>
        <w:t>women and men</w:t>
      </w:r>
      <w:r w:rsidR="00EE7C05">
        <w:rPr>
          <w:rFonts w:asciiTheme="majorHAnsi" w:hAnsiTheme="majorHAnsi" w:cstheme="majorHAnsi"/>
        </w:rPr>
        <w:t xml:space="preserve"> (Munoz et. al., 2021).</w:t>
      </w:r>
      <w:r w:rsidR="00EE7C05">
        <w:rPr>
          <w:rStyle w:val="FootnoteReference"/>
          <w:rFonts w:asciiTheme="majorHAnsi" w:hAnsiTheme="majorHAnsi" w:cstheme="majorHAnsi"/>
        </w:rPr>
        <w:footnoteReference w:id="6"/>
      </w:r>
    </w:p>
    <w:p w14:paraId="0B079F51" w14:textId="77777777" w:rsidR="003630BB" w:rsidRDefault="003630BB" w:rsidP="00A117AA">
      <w:pPr>
        <w:spacing w:after="0"/>
        <w:jc w:val="both"/>
        <w:rPr>
          <w:rFonts w:asciiTheme="majorHAnsi" w:hAnsiTheme="majorHAnsi" w:cstheme="majorHAnsi"/>
        </w:rPr>
      </w:pPr>
    </w:p>
    <w:p w14:paraId="3E3269EC" w14:textId="6D95201D" w:rsidR="00290D56" w:rsidRDefault="003630BB" w:rsidP="00606165">
      <w:pPr>
        <w:spacing w:after="0"/>
        <w:jc w:val="both"/>
        <w:rPr>
          <w:rFonts w:asciiTheme="majorHAnsi" w:hAnsiTheme="majorHAnsi" w:cstheme="majorHAnsi"/>
        </w:rPr>
      </w:pPr>
      <w:r>
        <w:rPr>
          <w:rFonts w:asciiTheme="majorHAnsi" w:hAnsiTheme="majorHAnsi" w:cstheme="majorHAnsi"/>
        </w:rPr>
        <w:t xml:space="preserve">The distribution of households across </w:t>
      </w:r>
      <w:r w:rsidR="00FF328D">
        <w:rPr>
          <w:rFonts w:asciiTheme="majorHAnsi" w:hAnsiTheme="majorHAnsi" w:cstheme="majorHAnsi"/>
        </w:rPr>
        <w:t>the care-intensity types</w:t>
      </w:r>
      <w:r w:rsidR="0096099A">
        <w:rPr>
          <w:rFonts w:asciiTheme="majorHAnsi" w:hAnsiTheme="majorHAnsi" w:cstheme="majorHAnsi"/>
        </w:rPr>
        <w:t xml:space="preserve"> indicates </w:t>
      </w:r>
      <w:r w:rsidR="00242FA3">
        <w:rPr>
          <w:rFonts w:asciiTheme="majorHAnsi" w:hAnsiTheme="majorHAnsi" w:cstheme="majorHAnsi"/>
        </w:rPr>
        <w:t xml:space="preserve">that </w:t>
      </w:r>
      <w:r w:rsidR="00804822">
        <w:rPr>
          <w:rFonts w:asciiTheme="majorHAnsi" w:hAnsiTheme="majorHAnsi" w:cstheme="majorHAnsi"/>
        </w:rPr>
        <w:t>household</w:t>
      </w:r>
      <w:r w:rsidR="00782657">
        <w:rPr>
          <w:rFonts w:asciiTheme="majorHAnsi" w:hAnsiTheme="majorHAnsi" w:cstheme="majorHAnsi"/>
        </w:rPr>
        <w:t xml:space="preserve"> </w:t>
      </w:r>
      <w:r w:rsidR="00A139E6">
        <w:rPr>
          <w:rFonts w:asciiTheme="majorHAnsi" w:hAnsiTheme="majorHAnsi" w:cstheme="majorHAnsi"/>
        </w:rPr>
        <w:t xml:space="preserve">with intensive care needs </w:t>
      </w:r>
      <w:r w:rsidR="00260E42">
        <w:rPr>
          <w:rFonts w:asciiTheme="majorHAnsi" w:hAnsiTheme="majorHAnsi" w:cstheme="majorHAnsi"/>
        </w:rPr>
        <w:t xml:space="preserve">comprise </w:t>
      </w:r>
      <w:r w:rsidR="00D94E56">
        <w:rPr>
          <w:rFonts w:asciiTheme="majorHAnsi" w:hAnsiTheme="majorHAnsi" w:cstheme="majorHAnsi"/>
        </w:rPr>
        <w:t>about half of the</w:t>
      </w:r>
      <w:r w:rsidR="00A673EC">
        <w:rPr>
          <w:rFonts w:asciiTheme="majorHAnsi" w:hAnsiTheme="majorHAnsi" w:cstheme="majorHAnsi"/>
        </w:rPr>
        <w:t xml:space="preserve"> households in Peru</w:t>
      </w:r>
      <w:r w:rsidR="00D94E56">
        <w:rPr>
          <w:rFonts w:asciiTheme="majorHAnsi" w:hAnsiTheme="majorHAnsi" w:cstheme="majorHAnsi"/>
        </w:rPr>
        <w:t xml:space="preserve"> (45.5 percent, accounting for households with presence of a care-dependent). Moreover, these types of households</w:t>
      </w:r>
      <w:r w:rsidR="00260E42">
        <w:rPr>
          <w:rFonts w:asciiTheme="majorHAnsi" w:hAnsiTheme="majorHAnsi" w:cstheme="majorHAnsi"/>
        </w:rPr>
        <w:t xml:space="preserve"> are over-represented among the poor </w:t>
      </w:r>
      <w:r w:rsidR="00C56AE2">
        <w:rPr>
          <w:rFonts w:asciiTheme="majorHAnsi" w:hAnsiTheme="majorHAnsi" w:cstheme="majorHAnsi"/>
        </w:rPr>
        <w:t>since</w:t>
      </w:r>
      <w:r w:rsidR="00260E42">
        <w:rPr>
          <w:rFonts w:asciiTheme="majorHAnsi" w:hAnsiTheme="majorHAnsi" w:cstheme="majorHAnsi"/>
        </w:rPr>
        <w:t xml:space="preserve"> they comprise </w:t>
      </w:r>
      <w:r w:rsidR="00EA4CE2">
        <w:rPr>
          <w:rFonts w:asciiTheme="majorHAnsi" w:hAnsiTheme="majorHAnsi" w:cstheme="majorHAnsi"/>
        </w:rPr>
        <w:t>63</w:t>
      </w:r>
      <w:r w:rsidR="00425792">
        <w:rPr>
          <w:rFonts w:asciiTheme="majorHAnsi" w:hAnsiTheme="majorHAnsi" w:cstheme="majorHAnsi"/>
        </w:rPr>
        <w:t xml:space="preserve"> percent of poor households</w:t>
      </w:r>
      <w:r w:rsidR="00A456B8">
        <w:rPr>
          <w:rFonts w:asciiTheme="majorHAnsi" w:hAnsiTheme="majorHAnsi" w:cstheme="majorHAnsi"/>
        </w:rPr>
        <w:t xml:space="preserve">, </w:t>
      </w:r>
      <w:r w:rsidR="00D47476">
        <w:rPr>
          <w:rFonts w:asciiTheme="majorHAnsi" w:hAnsiTheme="majorHAnsi" w:cstheme="majorHAnsi"/>
        </w:rPr>
        <w:t>more than 17 percentage points they share in the total households</w:t>
      </w:r>
      <w:r w:rsidR="00425792">
        <w:rPr>
          <w:rFonts w:asciiTheme="majorHAnsi" w:hAnsiTheme="majorHAnsi" w:cstheme="majorHAnsi"/>
        </w:rPr>
        <w:t xml:space="preserve"> </w:t>
      </w:r>
      <w:r w:rsidR="00562D45">
        <w:rPr>
          <w:rFonts w:asciiTheme="majorHAnsi" w:hAnsiTheme="majorHAnsi" w:cstheme="majorHAnsi"/>
        </w:rPr>
        <w:t>(</w:t>
      </w:r>
      <w:r w:rsidR="00CF0FBB">
        <w:rPr>
          <w:rFonts w:asciiTheme="majorHAnsi" w:hAnsiTheme="majorHAnsi" w:cstheme="majorHAnsi"/>
        </w:rPr>
        <w:fldChar w:fldCharType="begin"/>
      </w:r>
      <w:r w:rsidR="00CF0FBB">
        <w:rPr>
          <w:rFonts w:asciiTheme="majorHAnsi" w:hAnsiTheme="majorHAnsi" w:cstheme="majorHAnsi"/>
        </w:rPr>
        <w:instrText xml:space="preserve"> REF _Ref177027953 \h </w:instrText>
      </w:r>
      <w:r w:rsidR="00CF0FBB">
        <w:rPr>
          <w:rFonts w:asciiTheme="majorHAnsi" w:hAnsiTheme="majorHAnsi" w:cstheme="majorHAnsi"/>
        </w:rPr>
      </w:r>
      <w:r w:rsidR="00CF0FBB">
        <w:rPr>
          <w:rFonts w:asciiTheme="majorHAnsi" w:hAnsiTheme="majorHAnsi" w:cstheme="majorHAnsi"/>
        </w:rPr>
        <w:fldChar w:fldCharType="separate"/>
      </w:r>
      <w:r w:rsidR="00B71781" w:rsidRPr="001512C8">
        <w:rPr>
          <w:rFonts w:asciiTheme="majorHAnsi" w:hAnsiTheme="majorHAnsi" w:cstheme="majorHAnsi"/>
        </w:rPr>
        <w:t xml:space="preserve">Figure </w:t>
      </w:r>
      <w:r w:rsidR="00B71781">
        <w:rPr>
          <w:rFonts w:asciiTheme="majorHAnsi" w:hAnsiTheme="majorHAnsi" w:cstheme="majorHAnsi"/>
          <w:noProof/>
        </w:rPr>
        <w:t>6</w:t>
      </w:r>
      <w:r w:rsidR="00CF0FBB">
        <w:rPr>
          <w:rFonts w:asciiTheme="majorHAnsi" w:hAnsiTheme="majorHAnsi" w:cstheme="majorHAnsi"/>
        </w:rPr>
        <w:fldChar w:fldCharType="end"/>
      </w:r>
      <w:r w:rsidR="00562D45">
        <w:rPr>
          <w:rFonts w:asciiTheme="majorHAnsi" w:hAnsiTheme="majorHAnsi" w:cstheme="majorHAnsi"/>
        </w:rPr>
        <w:t>)</w:t>
      </w:r>
      <w:r w:rsidR="0077659B">
        <w:rPr>
          <w:rFonts w:asciiTheme="majorHAnsi" w:hAnsiTheme="majorHAnsi" w:cstheme="majorHAnsi"/>
        </w:rPr>
        <w:t xml:space="preserve">. </w:t>
      </w:r>
    </w:p>
    <w:p w14:paraId="06B3D30C" w14:textId="77777777" w:rsidR="00290D56" w:rsidRDefault="00290D56" w:rsidP="00606165">
      <w:pPr>
        <w:spacing w:after="0"/>
        <w:jc w:val="both"/>
        <w:rPr>
          <w:rFonts w:asciiTheme="majorHAnsi" w:hAnsiTheme="majorHAnsi" w:cstheme="majorHAnsi"/>
        </w:rPr>
      </w:pPr>
    </w:p>
    <w:p w14:paraId="7EA51D30" w14:textId="190799C3" w:rsidR="00606165" w:rsidRDefault="0077659B" w:rsidP="00606165">
      <w:pPr>
        <w:spacing w:after="0"/>
        <w:jc w:val="both"/>
        <w:rPr>
          <w:rFonts w:asciiTheme="majorHAnsi" w:hAnsiTheme="majorHAnsi" w:cstheme="majorHAnsi"/>
        </w:rPr>
      </w:pPr>
      <w:r>
        <w:rPr>
          <w:rFonts w:asciiTheme="majorHAnsi" w:hAnsiTheme="majorHAnsi" w:cstheme="majorHAnsi"/>
        </w:rPr>
        <w:t>Th</w:t>
      </w:r>
      <w:r w:rsidR="00290D56">
        <w:rPr>
          <w:rFonts w:asciiTheme="majorHAnsi" w:hAnsiTheme="majorHAnsi" w:cstheme="majorHAnsi"/>
        </w:rPr>
        <w:t>ese results</w:t>
      </w:r>
      <w:r>
        <w:rPr>
          <w:rFonts w:asciiTheme="majorHAnsi" w:hAnsiTheme="majorHAnsi" w:cstheme="majorHAnsi"/>
        </w:rPr>
        <w:t xml:space="preserve"> </w:t>
      </w:r>
      <w:r w:rsidR="00290D56">
        <w:rPr>
          <w:rFonts w:asciiTheme="majorHAnsi" w:hAnsiTheme="majorHAnsi" w:cstheme="majorHAnsi"/>
        </w:rPr>
        <w:t>are</w:t>
      </w:r>
      <w:r>
        <w:rPr>
          <w:rFonts w:asciiTheme="majorHAnsi" w:hAnsiTheme="majorHAnsi" w:cstheme="majorHAnsi"/>
        </w:rPr>
        <w:t xml:space="preserve"> consistent with results under the demographic composition showing that configurations with presence of children</w:t>
      </w:r>
      <w:r w:rsidR="00D47476">
        <w:rPr>
          <w:rFonts w:asciiTheme="majorHAnsi" w:hAnsiTheme="majorHAnsi" w:cstheme="majorHAnsi"/>
        </w:rPr>
        <w:t xml:space="preserve"> (some of them care-dependents)</w:t>
      </w:r>
      <w:r>
        <w:rPr>
          <w:rFonts w:asciiTheme="majorHAnsi" w:hAnsiTheme="majorHAnsi" w:cstheme="majorHAnsi"/>
        </w:rPr>
        <w:t xml:space="preserve"> exhibit a disproportionate representation among the poor.</w:t>
      </w:r>
      <w:r w:rsidR="00E2472E">
        <w:rPr>
          <w:rFonts w:asciiTheme="majorHAnsi" w:hAnsiTheme="majorHAnsi" w:cstheme="majorHAnsi"/>
        </w:rPr>
        <w:t xml:space="preserve"> </w:t>
      </w:r>
      <w:r w:rsidR="00D47476">
        <w:rPr>
          <w:rFonts w:asciiTheme="majorHAnsi" w:hAnsiTheme="majorHAnsi" w:cstheme="majorHAnsi"/>
        </w:rPr>
        <w:t>Among those</w:t>
      </w:r>
      <w:r w:rsidR="00E2472E">
        <w:rPr>
          <w:rFonts w:asciiTheme="majorHAnsi" w:hAnsiTheme="majorHAnsi" w:cstheme="majorHAnsi"/>
        </w:rPr>
        <w:t xml:space="preserve"> </w:t>
      </w:r>
      <w:r w:rsidR="00F83555">
        <w:rPr>
          <w:rFonts w:asciiTheme="majorHAnsi" w:hAnsiTheme="majorHAnsi" w:cstheme="majorHAnsi"/>
        </w:rPr>
        <w:t xml:space="preserve">with care intensive needs, </w:t>
      </w:r>
      <w:r w:rsidR="00CD78C7">
        <w:rPr>
          <w:rFonts w:asciiTheme="majorHAnsi" w:hAnsiTheme="majorHAnsi" w:cstheme="majorHAnsi"/>
        </w:rPr>
        <w:t xml:space="preserve">the typology that is the most </w:t>
      </w:r>
      <w:r w:rsidR="00262BE3">
        <w:rPr>
          <w:rFonts w:asciiTheme="majorHAnsi" w:hAnsiTheme="majorHAnsi" w:cstheme="majorHAnsi"/>
        </w:rPr>
        <w:t>overrepresented</w:t>
      </w:r>
      <w:r w:rsidR="006605E3">
        <w:rPr>
          <w:rFonts w:asciiTheme="majorHAnsi" w:hAnsiTheme="majorHAnsi" w:cstheme="majorHAnsi"/>
        </w:rPr>
        <w:t xml:space="preserve"> among the poor is </w:t>
      </w:r>
      <w:r w:rsidR="00D47476">
        <w:rPr>
          <w:rFonts w:asciiTheme="majorHAnsi" w:hAnsiTheme="majorHAnsi" w:cstheme="majorHAnsi"/>
        </w:rPr>
        <w:t>‘</w:t>
      </w:r>
      <w:r w:rsidR="00F83555">
        <w:rPr>
          <w:rFonts w:asciiTheme="majorHAnsi" w:hAnsiTheme="majorHAnsi" w:cstheme="majorHAnsi"/>
        </w:rPr>
        <w:t>adult couple with care-dependents</w:t>
      </w:r>
      <w:r w:rsidR="00D47476">
        <w:rPr>
          <w:rFonts w:asciiTheme="majorHAnsi" w:hAnsiTheme="majorHAnsi" w:cstheme="majorHAnsi"/>
        </w:rPr>
        <w:t>’</w:t>
      </w:r>
      <w:r w:rsidR="00F83555">
        <w:rPr>
          <w:rFonts w:asciiTheme="majorHAnsi" w:hAnsiTheme="majorHAnsi" w:cstheme="majorHAnsi"/>
        </w:rPr>
        <w:t xml:space="preserve"> </w:t>
      </w:r>
      <w:r w:rsidR="006605E3">
        <w:rPr>
          <w:rFonts w:asciiTheme="majorHAnsi" w:hAnsiTheme="majorHAnsi" w:cstheme="majorHAnsi"/>
        </w:rPr>
        <w:t>(</w:t>
      </w:r>
      <w:r w:rsidR="00262BE3">
        <w:rPr>
          <w:rFonts w:asciiTheme="majorHAnsi" w:hAnsiTheme="majorHAnsi" w:cstheme="majorHAnsi"/>
        </w:rPr>
        <w:t>a difference of 12 percentage points between the share among poor and total households</w:t>
      </w:r>
      <w:r w:rsidR="00C517F0">
        <w:rPr>
          <w:rFonts w:asciiTheme="majorHAnsi" w:hAnsiTheme="majorHAnsi" w:cstheme="majorHAnsi"/>
        </w:rPr>
        <w:t xml:space="preserve">. </w:t>
      </w:r>
      <w:r w:rsidR="00262BE3">
        <w:rPr>
          <w:rFonts w:asciiTheme="majorHAnsi" w:hAnsiTheme="majorHAnsi" w:cstheme="majorHAnsi"/>
        </w:rPr>
        <w:t>Again, this is also consistent</w:t>
      </w:r>
      <w:r w:rsidR="00D719AA">
        <w:rPr>
          <w:rFonts w:asciiTheme="majorHAnsi" w:hAnsiTheme="majorHAnsi" w:cstheme="majorHAnsi"/>
        </w:rPr>
        <w:t xml:space="preserve"> with</w:t>
      </w:r>
      <w:r w:rsidR="00262BE3">
        <w:rPr>
          <w:rFonts w:asciiTheme="majorHAnsi" w:hAnsiTheme="majorHAnsi" w:cstheme="majorHAnsi"/>
        </w:rPr>
        <w:t xml:space="preserve"> </w:t>
      </w:r>
      <w:r w:rsidR="00F83555">
        <w:rPr>
          <w:rFonts w:asciiTheme="majorHAnsi" w:hAnsiTheme="majorHAnsi" w:cstheme="majorHAnsi"/>
        </w:rPr>
        <w:t xml:space="preserve">the patterns of the nuclear family </w:t>
      </w:r>
      <w:r w:rsidR="002173BE">
        <w:rPr>
          <w:rFonts w:asciiTheme="majorHAnsi" w:hAnsiTheme="majorHAnsi" w:cstheme="majorHAnsi"/>
        </w:rPr>
        <w:t>under the demographic composition.</w:t>
      </w:r>
      <w:r w:rsidR="0022684B">
        <w:rPr>
          <w:rFonts w:asciiTheme="majorHAnsi" w:hAnsiTheme="majorHAnsi" w:cstheme="majorHAnsi"/>
        </w:rPr>
        <w:t xml:space="preserve"> </w:t>
      </w:r>
      <w:r w:rsidR="006B630B">
        <w:rPr>
          <w:rFonts w:asciiTheme="majorHAnsi" w:hAnsiTheme="majorHAnsi" w:cstheme="majorHAnsi"/>
        </w:rPr>
        <w:t>Singl</w:t>
      </w:r>
      <w:r w:rsidR="00C517F0">
        <w:rPr>
          <w:rFonts w:asciiTheme="majorHAnsi" w:hAnsiTheme="majorHAnsi" w:cstheme="majorHAnsi"/>
        </w:rPr>
        <w:t>e mothers with care-dependents represent a</w:t>
      </w:r>
      <w:r w:rsidR="006E264A">
        <w:rPr>
          <w:rFonts w:asciiTheme="majorHAnsi" w:hAnsiTheme="majorHAnsi" w:cstheme="majorHAnsi"/>
        </w:rPr>
        <w:t xml:space="preserve"> rather</w:t>
      </w:r>
      <w:r w:rsidR="00C517F0">
        <w:rPr>
          <w:rFonts w:asciiTheme="majorHAnsi" w:hAnsiTheme="majorHAnsi" w:cstheme="majorHAnsi"/>
        </w:rPr>
        <w:t xml:space="preserve"> small share among both total and poor </w:t>
      </w:r>
      <w:r w:rsidR="00AB6178">
        <w:rPr>
          <w:rFonts w:asciiTheme="majorHAnsi" w:hAnsiTheme="majorHAnsi" w:cstheme="majorHAnsi"/>
        </w:rPr>
        <w:t>households</w:t>
      </w:r>
      <w:r w:rsidR="006E264A">
        <w:rPr>
          <w:rFonts w:asciiTheme="majorHAnsi" w:hAnsiTheme="majorHAnsi" w:cstheme="majorHAnsi"/>
        </w:rPr>
        <w:t xml:space="preserve"> (4.3 and 5.2 percent, respectively)</w:t>
      </w:r>
      <w:r w:rsidR="00C517F0">
        <w:rPr>
          <w:rFonts w:asciiTheme="majorHAnsi" w:hAnsiTheme="majorHAnsi" w:cstheme="majorHAnsi"/>
        </w:rPr>
        <w:t xml:space="preserve">. </w:t>
      </w:r>
      <w:r w:rsidR="00606165">
        <w:rPr>
          <w:rFonts w:asciiTheme="majorHAnsi" w:hAnsiTheme="majorHAnsi" w:cstheme="majorHAnsi"/>
        </w:rPr>
        <w:t>It is worth noting that households without care dependents represent half Peruvian households (54.5 percent), and this type also includes configurations with children who might be older but still demand care time. Nevertheless, they are not overrepresented among the poor.</w:t>
      </w:r>
    </w:p>
    <w:p w14:paraId="308770DA" w14:textId="77777777" w:rsidR="00290D56" w:rsidRDefault="00290D56" w:rsidP="00606165">
      <w:pPr>
        <w:spacing w:after="0"/>
        <w:jc w:val="both"/>
        <w:rPr>
          <w:rFonts w:asciiTheme="majorHAnsi" w:hAnsiTheme="majorHAnsi" w:cstheme="majorHAnsi"/>
        </w:rPr>
      </w:pPr>
    </w:p>
    <w:p w14:paraId="22007321" w14:textId="77777777" w:rsidR="00290D56" w:rsidRDefault="00290D56" w:rsidP="00290D56">
      <w:pPr>
        <w:spacing w:after="0"/>
        <w:jc w:val="both"/>
        <w:rPr>
          <w:rFonts w:asciiTheme="majorHAnsi" w:hAnsiTheme="majorHAnsi" w:cstheme="majorHAnsi"/>
        </w:rPr>
      </w:pPr>
      <w:r>
        <w:rPr>
          <w:rFonts w:asciiTheme="majorHAnsi" w:hAnsiTheme="majorHAnsi" w:cstheme="majorHAnsi"/>
        </w:rPr>
        <w:t>Overall, the analysis through this typology</w:t>
      </w:r>
      <w:r w:rsidRPr="00E34320">
        <w:rPr>
          <w:rFonts w:asciiTheme="majorHAnsi" w:hAnsiTheme="majorHAnsi" w:cstheme="majorHAnsi"/>
        </w:rPr>
        <w:t xml:space="preserve"> </w:t>
      </w:r>
      <w:r>
        <w:rPr>
          <w:rFonts w:asciiTheme="majorHAnsi" w:hAnsiTheme="majorHAnsi" w:cstheme="majorHAnsi"/>
        </w:rPr>
        <w:t>highlights</w:t>
      </w:r>
      <w:r w:rsidRPr="00E34320">
        <w:rPr>
          <w:rFonts w:asciiTheme="majorHAnsi" w:hAnsiTheme="majorHAnsi" w:cstheme="majorHAnsi"/>
        </w:rPr>
        <w:t xml:space="preserve"> the </w:t>
      </w:r>
      <w:r>
        <w:rPr>
          <w:rFonts w:asciiTheme="majorHAnsi" w:hAnsiTheme="majorHAnsi" w:cstheme="majorHAnsi"/>
        </w:rPr>
        <w:t>important</w:t>
      </w:r>
      <w:r w:rsidRPr="00E34320">
        <w:rPr>
          <w:rFonts w:asciiTheme="majorHAnsi" w:hAnsiTheme="majorHAnsi" w:cstheme="majorHAnsi"/>
        </w:rPr>
        <w:t xml:space="preserve"> role </w:t>
      </w:r>
      <w:r>
        <w:rPr>
          <w:rFonts w:asciiTheme="majorHAnsi" w:hAnsiTheme="majorHAnsi" w:cstheme="majorHAnsi"/>
        </w:rPr>
        <w:t>that household caregiving needs and intra-household time use, play</w:t>
      </w:r>
      <w:r w:rsidRPr="00E34320">
        <w:rPr>
          <w:rFonts w:asciiTheme="majorHAnsi" w:hAnsiTheme="majorHAnsi" w:cstheme="majorHAnsi"/>
        </w:rPr>
        <w:t xml:space="preserve"> in shaping poverty dynamics.</w:t>
      </w:r>
      <w:r>
        <w:rPr>
          <w:rFonts w:asciiTheme="majorHAnsi" w:hAnsiTheme="majorHAnsi" w:cstheme="majorHAnsi"/>
        </w:rPr>
        <w:t xml:space="preserve"> Moreover</w:t>
      </w:r>
      <w:r w:rsidRPr="00647BB6">
        <w:rPr>
          <w:rFonts w:asciiTheme="majorHAnsi" w:hAnsiTheme="majorHAnsi" w:cstheme="majorHAnsi"/>
        </w:rPr>
        <w:t>, their overrepresentation among poor households suggests a higher vulnerability to poverty</w:t>
      </w:r>
      <w:r>
        <w:rPr>
          <w:rFonts w:asciiTheme="majorHAnsi" w:hAnsiTheme="majorHAnsi" w:cstheme="majorHAnsi"/>
        </w:rPr>
        <w:t>.</w:t>
      </w:r>
    </w:p>
    <w:p w14:paraId="5FECFF06" w14:textId="77777777" w:rsidR="00290D56" w:rsidRDefault="00290D56" w:rsidP="00606165">
      <w:pPr>
        <w:spacing w:after="0"/>
        <w:jc w:val="both"/>
        <w:rPr>
          <w:rFonts w:asciiTheme="majorHAnsi" w:hAnsiTheme="majorHAnsi" w:cstheme="majorHAnsi"/>
        </w:rPr>
      </w:pPr>
    </w:p>
    <w:p w14:paraId="681AEB4A" w14:textId="77777777" w:rsidR="00290D56" w:rsidRDefault="00290D56" w:rsidP="00606165">
      <w:pPr>
        <w:spacing w:after="0"/>
        <w:jc w:val="both"/>
        <w:rPr>
          <w:rFonts w:asciiTheme="majorHAnsi" w:hAnsiTheme="majorHAnsi" w:cstheme="majorHAnsi"/>
        </w:rPr>
      </w:pPr>
    </w:p>
    <w:p w14:paraId="76B1091C" w14:textId="77777777" w:rsidR="00290D56" w:rsidRDefault="00290D56" w:rsidP="00606165">
      <w:pPr>
        <w:spacing w:after="0"/>
        <w:jc w:val="both"/>
        <w:rPr>
          <w:rFonts w:asciiTheme="majorHAnsi" w:hAnsiTheme="majorHAnsi" w:cstheme="majorHAnsi"/>
        </w:rPr>
      </w:pPr>
    </w:p>
    <w:p w14:paraId="1A5CE4C3" w14:textId="77777777" w:rsidR="00290D56" w:rsidRDefault="00290D56" w:rsidP="00606165">
      <w:pPr>
        <w:spacing w:after="0"/>
        <w:jc w:val="both"/>
        <w:rPr>
          <w:rFonts w:asciiTheme="majorHAnsi" w:hAnsiTheme="majorHAnsi" w:cstheme="majorHAnsi"/>
        </w:rPr>
      </w:pPr>
    </w:p>
    <w:p w14:paraId="167656E7" w14:textId="77777777" w:rsidR="00290D56" w:rsidRDefault="00290D56" w:rsidP="00606165">
      <w:pPr>
        <w:spacing w:after="0"/>
        <w:jc w:val="both"/>
        <w:rPr>
          <w:rFonts w:asciiTheme="majorHAnsi" w:hAnsiTheme="majorHAnsi" w:cstheme="majorHAnsi"/>
        </w:rPr>
      </w:pPr>
    </w:p>
    <w:p w14:paraId="2D8B926A" w14:textId="77777777" w:rsidR="00290D56" w:rsidRDefault="00290D56" w:rsidP="00606165">
      <w:pPr>
        <w:spacing w:after="0"/>
        <w:jc w:val="both"/>
        <w:rPr>
          <w:rFonts w:asciiTheme="majorHAnsi" w:hAnsiTheme="majorHAnsi" w:cstheme="majorHAnsi"/>
        </w:rPr>
      </w:pPr>
    </w:p>
    <w:p w14:paraId="4ED74611" w14:textId="77777777" w:rsidR="005C59B3" w:rsidRDefault="005C59B3" w:rsidP="00A117AA">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9156"/>
      </w:tblGrid>
      <w:tr w:rsidR="00CF0FBB" w14:paraId="2ADD6676" w14:textId="77777777" w:rsidTr="00290D56">
        <w:trPr>
          <w:trHeight w:val="511"/>
        </w:trPr>
        <w:tc>
          <w:tcPr>
            <w:tcW w:w="9075" w:type="dxa"/>
          </w:tcPr>
          <w:p w14:paraId="5ADB51C9" w14:textId="12E73BFD" w:rsidR="00CF0FBB" w:rsidRDefault="00CF0FBB" w:rsidP="00A117AA">
            <w:pPr>
              <w:jc w:val="both"/>
              <w:rPr>
                <w:rFonts w:asciiTheme="majorHAnsi" w:hAnsiTheme="majorHAnsi" w:cstheme="majorHAnsi"/>
              </w:rPr>
            </w:pPr>
            <w:bookmarkStart w:id="6" w:name="_Ref177027953"/>
            <w:r w:rsidRPr="001512C8">
              <w:rPr>
                <w:rFonts w:asciiTheme="majorHAnsi" w:hAnsiTheme="majorHAnsi" w:cstheme="majorHAnsi"/>
              </w:rPr>
              <w:t xml:space="preserve">Figure </w:t>
            </w:r>
            <w:r w:rsidRPr="001512C8">
              <w:rPr>
                <w:rFonts w:asciiTheme="majorHAnsi" w:hAnsiTheme="majorHAnsi" w:cstheme="majorHAnsi"/>
              </w:rPr>
              <w:fldChar w:fldCharType="begin"/>
            </w:r>
            <w:r w:rsidRPr="001512C8">
              <w:rPr>
                <w:rFonts w:asciiTheme="majorHAnsi" w:hAnsiTheme="majorHAnsi" w:cstheme="majorHAnsi"/>
              </w:rPr>
              <w:instrText xml:space="preserve"> SEQ Figure \* ARABIC </w:instrText>
            </w:r>
            <w:r w:rsidRPr="001512C8">
              <w:rPr>
                <w:rFonts w:asciiTheme="majorHAnsi" w:hAnsiTheme="majorHAnsi" w:cstheme="majorHAnsi"/>
              </w:rPr>
              <w:fldChar w:fldCharType="separate"/>
            </w:r>
            <w:r w:rsidR="00B71781">
              <w:rPr>
                <w:rFonts w:asciiTheme="majorHAnsi" w:hAnsiTheme="majorHAnsi" w:cstheme="majorHAnsi"/>
                <w:noProof/>
              </w:rPr>
              <w:t>6</w:t>
            </w:r>
            <w:r w:rsidRPr="001512C8">
              <w:rPr>
                <w:rFonts w:asciiTheme="majorHAnsi" w:hAnsiTheme="majorHAnsi" w:cstheme="majorHAnsi"/>
              </w:rPr>
              <w:fldChar w:fldCharType="end"/>
            </w:r>
            <w:bookmarkEnd w:id="6"/>
            <w:r w:rsidRPr="000A1880">
              <w:rPr>
                <w:rFonts w:asciiTheme="majorHAnsi" w:hAnsiTheme="majorHAnsi" w:cstheme="majorHAnsi"/>
              </w:rPr>
              <w:t>.</w:t>
            </w:r>
            <w:r w:rsidRPr="00BD3182">
              <w:rPr>
                <w:rFonts w:asciiTheme="majorHAnsi" w:hAnsiTheme="majorHAnsi" w:cstheme="majorHAnsi"/>
              </w:rPr>
              <w:t xml:space="preserve"> Distribution of households by </w:t>
            </w:r>
            <w:r>
              <w:rPr>
                <w:rFonts w:asciiTheme="majorHAnsi" w:hAnsiTheme="majorHAnsi" w:cstheme="majorHAnsi"/>
              </w:rPr>
              <w:t xml:space="preserve">presence of dependents with intensive care needs </w:t>
            </w:r>
            <w:r w:rsidRPr="00BD3182">
              <w:rPr>
                <w:rFonts w:asciiTheme="majorHAnsi" w:hAnsiTheme="majorHAnsi" w:cstheme="majorHAnsi"/>
              </w:rPr>
              <w:t>and poverty status</w:t>
            </w:r>
            <w:r>
              <w:rPr>
                <w:rFonts w:asciiTheme="majorHAnsi" w:hAnsiTheme="majorHAnsi" w:cstheme="majorHAnsi"/>
              </w:rPr>
              <w:t xml:space="preserve"> (%)</w:t>
            </w:r>
          </w:p>
        </w:tc>
      </w:tr>
      <w:tr w:rsidR="00CF0FBB" w14:paraId="2F3441BC" w14:textId="77777777" w:rsidTr="00290D56">
        <w:trPr>
          <w:trHeight w:val="3770"/>
        </w:trPr>
        <w:tc>
          <w:tcPr>
            <w:tcW w:w="9075" w:type="dxa"/>
          </w:tcPr>
          <w:p w14:paraId="0AB07990" w14:textId="0D358A2B" w:rsidR="00CF0FBB" w:rsidRDefault="00CF0FBB" w:rsidP="00A117AA">
            <w:pPr>
              <w:jc w:val="both"/>
              <w:rPr>
                <w:rFonts w:asciiTheme="majorHAnsi" w:hAnsiTheme="majorHAnsi" w:cstheme="majorHAnsi"/>
              </w:rPr>
            </w:pPr>
            <w:r>
              <w:rPr>
                <w:noProof/>
              </w:rPr>
              <w:drawing>
                <wp:inline distT="0" distB="0" distL="0" distR="0" wp14:anchorId="5A025CD3" wp14:editId="34759C5F">
                  <wp:extent cx="5669280" cy="2337684"/>
                  <wp:effectExtent l="0" t="0" r="7620" b="5715"/>
                  <wp:docPr id="352165775" name="Chart 1">
                    <a:extLst xmlns:a="http://schemas.openxmlformats.org/drawingml/2006/main">
                      <a:ext uri="{FF2B5EF4-FFF2-40B4-BE49-F238E27FC236}">
                        <a16:creationId xmlns:a16="http://schemas.microsoft.com/office/drawing/2014/main" id="{66C18FA8-DE38-41A2-BB59-418F4D70A6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CF0FBB" w14:paraId="3196B643" w14:textId="77777777" w:rsidTr="00290D56">
        <w:trPr>
          <w:trHeight w:val="705"/>
        </w:trPr>
        <w:tc>
          <w:tcPr>
            <w:tcW w:w="9075" w:type="dxa"/>
          </w:tcPr>
          <w:p w14:paraId="0D892F20" w14:textId="77777777" w:rsidR="00CF0FBB" w:rsidRDefault="00CF0FBB" w:rsidP="00993235">
            <w:pPr>
              <w:textAlignment w:val="baseline"/>
              <w:rPr>
                <w:rFonts w:asciiTheme="majorHAnsi" w:hAnsiTheme="majorHAnsi" w:cstheme="majorHAnsi"/>
                <w:sz w:val="20"/>
                <w:szCs w:val="20"/>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p w14:paraId="02CA9A86" w14:textId="62E1867C" w:rsidR="00CF0FBB" w:rsidRDefault="00CF0FBB" w:rsidP="00CF0FBB">
            <w:pPr>
              <w:jc w:val="both"/>
              <w:rPr>
                <w:rFonts w:asciiTheme="majorHAnsi" w:hAnsiTheme="majorHAnsi" w:cstheme="majorHAnsi"/>
              </w:rPr>
            </w:pPr>
            <w:r>
              <w:rPr>
                <w:rFonts w:asciiTheme="majorHAnsi" w:hAnsiTheme="majorHAnsi" w:cstheme="majorHAnsi"/>
                <w:sz w:val="20"/>
                <w:szCs w:val="20"/>
              </w:rPr>
              <w:t>Note: According to this classification, ‘dependent’ refers to a care-dependent member defined as child 0-5, senior adult 75+ or a member with a disability.</w:t>
            </w:r>
          </w:p>
        </w:tc>
      </w:tr>
    </w:tbl>
    <w:p w14:paraId="1DCEF6C0" w14:textId="77777777" w:rsidR="00CF0FBB" w:rsidRDefault="00CF0FBB" w:rsidP="00A117AA">
      <w:pPr>
        <w:spacing w:after="0"/>
        <w:jc w:val="both"/>
        <w:rPr>
          <w:rFonts w:asciiTheme="majorHAnsi" w:hAnsiTheme="majorHAnsi" w:cstheme="majorHAnsi"/>
        </w:rPr>
      </w:pPr>
    </w:p>
    <w:p w14:paraId="2FDA3BE9" w14:textId="48EE558A" w:rsidR="00772822" w:rsidRPr="00772822" w:rsidRDefault="00993235" w:rsidP="00993235">
      <w:pPr>
        <w:pStyle w:val="Heading3"/>
        <w:rPr>
          <w:rFonts w:cstheme="majorHAnsi"/>
        </w:rPr>
      </w:pPr>
      <w:r>
        <w:t xml:space="preserve">Households with </w:t>
      </w:r>
      <w:r w:rsidR="00CD557E">
        <w:t>Reliance</w:t>
      </w:r>
      <w:r w:rsidR="00CD557E" w:rsidRPr="00806F99">
        <w:t xml:space="preserve"> </w:t>
      </w:r>
      <w:r w:rsidR="001205F9" w:rsidRPr="00806F99">
        <w:t xml:space="preserve">on </w:t>
      </w:r>
      <w:r>
        <w:t>A</w:t>
      </w:r>
      <w:r w:rsidR="001205F9" w:rsidRPr="00806F99">
        <w:t>griculture</w:t>
      </w:r>
    </w:p>
    <w:p w14:paraId="35321BC3" w14:textId="77777777" w:rsidR="00A86CF7" w:rsidRDefault="00A86CF7" w:rsidP="00A86CF7">
      <w:pPr>
        <w:pStyle w:val="ListParagraph"/>
        <w:spacing w:after="0"/>
        <w:jc w:val="both"/>
        <w:rPr>
          <w:rFonts w:asciiTheme="majorHAnsi" w:hAnsiTheme="majorHAnsi" w:cstheme="majorHAnsi"/>
        </w:rPr>
      </w:pPr>
    </w:p>
    <w:p w14:paraId="1EA46594" w14:textId="24ACCCE8" w:rsidR="00476E74" w:rsidRDefault="00772822" w:rsidP="006A08F8">
      <w:pPr>
        <w:spacing w:after="0"/>
        <w:jc w:val="both"/>
        <w:rPr>
          <w:rFonts w:asciiTheme="majorHAnsi" w:hAnsiTheme="majorHAnsi" w:cstheme="majorHAnsi"/>
        </w:rPr>
      </w:pPr>
      <w:r>
        <w:rPr>
          <w:rFonts w:asciiTheme="majorHAnsi" w:hAnsiTheme="majorHAnsi" w:cstheme="majorHAnsi"/>
        </w:rPr>
        <w:t xml:space="preserve">The third typology developed for this note </w:t>
      </w:r>
      <w:r w:rsidR="00AF1FE0">
        <w:rPr>
          <w:rFonts w:asciiTheme="majorHAnsi" w:hAnsiTheme="majorHAnsi" w:cstheme="majorHAnsi"/>
        </w:rPr>
        <w:t xml:space="preserve">is about </w:t>
      </w:r>
      <w:r>
        <w:rPr>
          <w:rFonts w:asciiTheme="majorHAnsi" w:hAnsiTheme="majorHAnsi" w:cstheme="majorHAnsi"/>
        </w:rPr>
        <w:t>reliance on agriculture</w:t>
      </w:r>
      <w:r w:rsidR="00557D52">
        <w:rPr>
          <w:rFonts w:asciiTheme="majorHAnsi" w:hAnsiTheme="majorHAnsi" w:cstheme="majorHAnsi"/>
        </w:rPr>
        <w:t xml:space="preserve"> as the main source of income</w:t>
      </w:r>
      <w:r>
        <w:rPr>
          <w:rFonts w:asciiTheme="majorHAnsi" w:hAnsiTheme="majorHAnsi" w:cstheme="majorHAnsi"/>
        </w:rPr>
        <w:t xml:space="preserve">. </w:t>
      </w:r>
      <w:r w:rsidR="0014040B">
        <w:rPr>
          <w:rFonts w:asciiTheme="majorHAnsi" w:hAnsiTheme="majorHAnsi" w:cstheme="majorHAnsi"/>
        </w:rPr>
        <w:t xml:space="preserve">This occupational/sectorial typology </w:t>
      </w:r>
      <w:r w:rsidR="00D62771">
        <w:rPr>
          <w:rFonts w:asciiTheme="majorHAnsi" w:hAnsiTheme="majorHAnsi" w:cstheme="majorHAnsi"/>
        </w:rPr>
        <w:t>captures</w:t>
      </w:r>
      <w:r w:rsidR="00887C70">
        <w:rPr>
          <w:rFonts w:asciiTheme="majorHAnsi" w:hAnsiTheme="majorHAnsi" w:cstheme="majorHAnsi"/>
        </w:rPr>
        <w:t xml:space="preserve"> the </w:t>
      </w:r>
      <w:r w:rsidR="00021486">
        <w:rPr>
          <w:rFonts w:asciiTheme="majorHAnsi" w:hAnsiTheme="majorHAnsi" w:cstheme="majorHAnsi"/>
        </w:rPr>
        <w:t>heterogeneity</w:t>
      </w:r>
      <w:r w:rsidR="00887C70">
        <w:rPr>
          <w:rFonts w:asciiTheme="majorHAnsi" w:hAnsiTheme="majorHAnsi" w:cstheme="majorHAnsi"/>
        </w:rPr>
        <w:t xml:space="preserve"> </w:t>
      </w:r>
      <w:r w:rsidR="00D31D19">
        <w:rPr>
          <w:rFonts w:asciiTheme="majorHAnsi" w:hAnsiTheme="majorHAnsi" w:cstheme="majorHAnsi"/>
        </w:rPr>
        <w:t xml:space="preserve">in household characteristics </w:t>
      </w:r>
      <w:r w:rsidR="00D62771">
        <w:rPr>
          <w:rFonts w:asciiTheme="majorHAnsi" w:hAnsiTheme="majorHAnsi" w:cstheme="majorHAnsi"/>
        </w:rPr>
        <w:t>associated with w</w:t>
      </w:r>
      <w:r w:rsidR="0073192B">
        <w:rPr>
          <w:rFonts w:asciiTheme="majorHAnsi" w:hAnsiTheme="majorHAnsi" w:cstheme="majorHAnsi"/>
        </w:rPr>
        <w:t xml:space="preserve">orking </w:t>
      </w:r>
      <w:r w:rsidR="00501DDD">
        <w:rPr>
          <w:rFonts w:asciiTheme="majorHAnsi" w:hAnsiTheme="majorHAnsi" w:cstheme="majorHAnsi"/>
        </w:rPr>
        <w:t xml:space="preserve">in </w:t>
      </w:r>
      <w:r w:rsidR="003360F5">
        <w:rPr>
          <w:rFonts w:asciiTheme="majorHAnsi" w:hAnsiTheme="majorHAnsi" w:cstheme="majorHAnsi"/>
        </w:rPr>
        <w:t>the primary sector,</w:t>
      </w:r>
      <w:r w:rsidR="00032ABC">
        <w:rPr>
          <w:rFonts w:asciiTheme="majorHAnsi" w:hAnsiTheme="majorHAnsi" w:cstheme="majorHAnsi"/>
        </w:rPr>
        <w:t xml:space="preserve"> which </w:t>
      </w:r>
      <w:r w:rsidR="007251F3">
        <w:rPr>
          <w:rFonts w:asciiTheme="majorHAnsi" w:hAnsiTheme="majorHAnsi" w:cstheme="majorHAnsi"/>
        </w:rPr>
        <w:t>is strongly linked to rural vs</w:t>
      </w:r>
      <w:r w:rsidR="00032ABC">
        <w:rPr>
          <w:rFonts w:asciiTheme="majorHAnsi" w:hAnsiTheme="majorHAnsi" w:cstheme="majorHAnsi"/>
        </w:rPr>
        <w:t xml:space="preserve"> urban </w:t>
      </w:r>
      <w:r w:rsidR="007251F3">
        <w:rPr>
          <w:rFonts w:asciiTheme="majorHAnsi" w:hAnsiTheme="majorHAnsi" w:cstheme="majorHAnsi"/>
        </w:rPr>
        <w:t>living</w:t>
      </w:r>
      <w:r w:rsidR="001C6C86">
        <w:rPr>
          <w:rFonts w:asciiTheme="majorHAnsi" w:hAnsiTheme="majorHAnsi" w:cstheme="majorHAnsi"/>
        </w:rPr>
        <w:t xml:space="preserve"> but </w:t>
      </w:r>
      <w:r w:rsidR="007251F3">
        <w:rPr>
          <w:rFonts w:asciiTheme="majorHAnsi" w:hAnsiTheme="majorHAnsi" w:cstheme="majorHAnsi"/>
        </w:rPr>
        <w:t>encompasses</w:t>
      </w:r>
      <w:r w:rsidR="00056604">
        <w:rPr>
          <w:rFonts w:asciiTheme="majorHAnsi" w:hAnsiTheme="majorHAnsi" w:cstheme="majorHAnsi"/>
        </w:rPr>
        <w:t xml:space="preserve"> a broader category. </w:t>
      </w:r>
      <w:r w:rsidR="00056604" w:rsidRPr="00056604">
        <w:rPr>
          <w:rFonts w:asciiTheme="majorHAnsi" w:hAnsiTheme="majorHAnsi" w:cstheme="majorHAnsi"/>
        </w:rPr>
        <w:t xml:space="preserve">The premise is that </w:t>
      </w:r>
      <w:r w:rsidR="00056604">
        <w:rPr>
          <w:rFonts w:asciiTheme="majorHAnsi" w:hAnsiTheme="majorHAnsi" w:cstheme="majorHAnsi"/>
        </w:rPr>
        <w:t>agricultural households</w:t>
      </w:r>
      <w:r w:rsidR="00056604" w:rsidRPr="00056604">
        <w:rPr>
          <w:rFonts w:asciiTheme="majorHAnsi" w:hAnsiTheme="majorHAnsi" w:cstheme="majorHAnsi"/>
        </w:rPr>
        <w:t xml:space="preserve"> follow different consumption patterns, rely on </w:t>
      </w:r>
      <w:r w:rsidR="00E5794E">
        <w:rPr>
          <w:rFonts w:asciiTheme="majorHAnsi" w:hAnsiTheme="majorHAnsi" w:cstheme="majorHAnsi"/>
        </w:rPr>
        <w:t>distinct income</w:t>
      </w:r>
      <w:r w:rsidR="00251156">
        <w:rPr>
          <w:rFonts w:asciiTheme="majorHAnsi" w:hAnsiTheme="majorHAnsi" w:cstheme="majorHAnsi"/>
        </w:rPr>
        <w:t xml:space="preserve"> sources,</w:t>
      </w:r>
      <w:r w:rsidR="00056604" w:rsidRPr="00056604">
        <w:rPr>
          <w:rFonts w:asciiTheme="majorHAnsi" w:hAnsiTheme="majorHAnsi" w:cstheme="majorHAnsi"/>
        </w:rPr>
        <w:t xml:space="preserve"> and </w:t>
      </w:r>
      <w:r w:rsidR="00251156">
        <w:rPr>
          <w:rFonts w:asciiTheme="majorHAnsi" w:hAnsiTheme="majorHAnsi" w:cstheme="majorHAnsi"/>
        </w:rPr>
        <w:t xml:space="preserve">exhibit gendered dynamics, </w:t>
      </w:r>
      <w:r w:rsidR="00056604" w:rsidRPr="00056604">
        <w:rPr>
          <w:rFonts w:asciiTheme="majorHAnsi" w:hAnsiTheme="majorHAnsi" w:cstheme="majorHAnsi"/>
        </w:rPr>
        <w:t xml:space="preserve">where </w:t>
      </w:r>
      <w:r w:rsidR="00FC0A9E" w:rsidRPr="00FC0A9E">
        <w:rPr>
          <w:rFonts w:asciiTheme="majorHAnsi" w:hAnsiTheme="majorHAnsi" w:cstheme="majorHAnsi"/>
        </w:rPr>
        <w:t>women</w:t>
      </w:r>
      <w:r w:rsidR="00D42B2F">
        <w:rPr>
          <w:rFonts w:asciiTheme="majorHAnsi" w:hAnsiTheme="majorHAnsi" w:cstheme="majorHAnsi"/>
        </w:rPr>
        <w:t>’</w:t>
      </w:r>
      <w:r w:rsidR="00FC0A9E" w:rsidRPr="00FC0A9E">
        <w:rPr>
          <w:rFonts w:asciiTheme="majorHAnsi" w:hAnsiTheme="majorHAnsi" w:cstheme="majorHAnsi"/>
        </w:rPr>
        <w:t>s roles in household work may overlap with productive activities related to subsistence farming and care work.</w:t>
      </w:r>
    </w:p>
    <w:p w14:paraId="20AB3CB3" w14:textId="77777777" w:rsidR="00032ABC" w:rsidRDefault="00032ABC" w:rsidP="006A08F8">
      <w:pPr>
        <w:spacing w:after="0"/>
        <w:jc w:val="both"/>
        <w:rPr>
          <w:rFonts w:asciiTheme="majorHAnsi" w:hAnsiTheme="majorHAnsi" w:cstheme="majorHAnsi"/>
        </w:rPr>
      </w:pPr>
    </w:p>
    <w:p w14:paraId="017C5484" w14:textId="155C7B2C" w:rsidR="00C704F2" w:rsidRDefault="00FA7B33" w:rsidP="006A08F8">
      <w:pPr>
        <w:spacing w:after="0"/>
        <w:jc w:val="both"/>
        <w:rPr>
          <w:rFonts w:asciiTheme="majorHAnsi" w:hAnsiTheme="majorHAnsi" w:cstheme="majorHAnsi"/>
        </w:rPr>
      </w:pPr>
      <w:r>
        <w:rPr>
          <w:rFonts w:asciiTheme="majorHAnsi" w:hAnsiTheme="majorHAnsi" w:cstheme="majorHAnsi"/>
        </w:rPr>
        <w:t>In 2023, t</w:t>
      </w:r>
      <w:r w:rsidR="00682E1A">
        <w:rPr>
          <w:rFonts w:asciiTheme="majorHAnsi" w:hAnsiTheme="majorHAnsi" w:cstheme="majorHAnsi"/>
        </w:rPr>
        <w:t xml:space="preserve">he rural population in Peru </w:t>
      </w:r>
      <w:r w:rsidR="0067170E">
        <w:rPr>
          <w:rFonts w:asciiTheme="majorHAnsi" w:hAnsiTheme="majorHAnsi" w:cstheme="majorHAnsi"/>
        </w:rPr>
        <w:t>comprise</w:t>
      </w:r>
      <w:r>
        <w:rPr>
          <w:rFonts w:asciiTheme="majorHAnsi" w:hAnsiTheme="majorHAnsi" w:cstheme="majorHAnsi"/>
        </w:rPr>
        <w:t>d</w:t>
      </w:r>
      <w:r w:rsidR="0067170E">
        <w:rPr>
          <w:rFonts w:asciiTheme="majorHAnsi" w:hAnsiTheme="majorHAnsi" w:cstheme="majorHAnsi"/>
        </w:rPr>
        <w:t xml:space="preserve"> </w:t>
      </w:r>
      <w:r w:rsidR="005F1F8B">
        <w:rPr>
          <w:rFonts w:asciiTheme="majorHAnsi" w:hAnsiTheme="majorHAnsi" w:cstheme="majorHAnsi"/>
        </w:rPr>
        <w:t xml:space="preserve">17.4 percent </w:t>
      </w:r>
      <w:r w:rsidR="004D619F">
        <w:rPr>
          <w:rFonts w:asciiTheme="majorHAnsi" w:hAnsiTheme="majorHAnsi" w:cstheme="majorHAnsi"/>
        </w:rPr>
        <w:t>of the total population</w:t>
      </w:r>
      <w:r w:rsidR="00164FD2">
        <w:rPr>
          <w:rFonts w:asciiTheme="majorHAnsi" w:hAnsiTheme="majorHAnsi" w:cstheme="majorHAnsi"/>
        </w:rPr>
        <w:t xml:space="preserve"> and ha</w:t>
      </w:r>
      <w:r w:rsidR="00261735">
        <w:rPr>
          <w:rFonts w:asciiTheme="majorHAnsi" w:hAnsiTheme="majorHAnsi" w:cstheme="majorHAnsi"/>
        </w:rPr>
        <w:t>d</w:t>
      </w:r>
      <w:r w:rsidR="00164FD2">
        <w:rPr>
          <w:rFonts w:asciiTheme="majorHAnsi" w:hAnsiTheme="majorHAnsi" w:cstheme="majorHAnsi"/>
        </w:rPr>
        <w:t xml:space="preserve"> the highest incidence of poverty at 39.8 percent</w:t>
      </w:r>
      <w:r w:rsidR="00D63083">
        <w:rPr>
          <w:rFonts w:asciiTheme="majorHAnsi" w:hAnsiTheme="majorHAnsi" w:cstheme="majorHAnsi"/>
        </w:rPr>
        <w:t xml:space="preserve">, compared to 26.4 percent in </w:t>
      </w:r>
      <w:r w:rsidR="00F02146">
        <w:rPr>
          <w:rFonts w:asciiTheme="majorHAnsi" w:hAnsiTheme="majorHAnsi" w:cstheme="majorHAnsi"/>
        </w:rPr>
        <w:t>urban areas</w:t>
      </w:r>
      <w:r w:rsidR="00164FD2">
        <w:rPr>
          <w:rFonts w:asciiTheme="majorHAnsi" w:hAnsiTheme="majorHAnsi" w:cstheme="majorHAnsi"/>
        </w:rPr>
        <w:t xml:space="preserve"> (INEI, 2024)</w:t>
      </w:r>
      <w:r w:rsidR="00CB2A85">
        <w:rPr>
          <w:rStyle w:val="FootnoteReference"/>
          <w:rFonts w:asciiTheme="majorHAnsi" w:hAnsiTheme="majorHAnsi" w:cstheme="majorHAnsi"/>
        </w:rPr>
        <w:footnoteReference w:id="7"/>
      </w:r>
      <w:r w:rsidR="00164FD2">
        <w:rPr>
          <w:rFonts w:asciiTheme="majorHAnsi" w:hAnsiTheme="majorHAnsi" w:cstheme="majorHAnsi"/>
        </w:rPr>
        <w:t>.</w:t>
      </w:r>
      <w:r w:rsidR="006530C8">
        <w:rPr>
          <w:rFonts w:asciiTheme="majorHAnsi" w:hAnsiTheme="majorHAnsi" w:cstheme="majorHAnsi"/>
        </w:rPr>
        <w:t xml:space="preserve"> Extreme poverty </w:t>
      </w:r>
      <w:r w:rsidR="00261735">
        <w:rPr>
          <w:rFonts w:asciiTheme="majorHAnsi" w:hAnsiTheme="majorHAnsi" w:cstheme="majorHAnsi"/>
        </w:rPr>
        <w:t>wa</w:t>
      </w:r>
      <w:r w:rsidR="006530C8">
        <w:rPr>
          <w:rFonts w:asciiTheme="majorHAnsi" w:hAnsiTheme="majorHAnsi" w:cstheme="majorHAnsi"/>
        </w:rPr>
        <w:t xml:space="preserve">s also higher in rural areas, with 16.2 percent of the rural population living under the extreme poverty line, compared to 3.2 percent in urban areas. The higher </w:t>
      </w:r>
      <w:r w:rsidR="00544B5A">
        <w:rPr>
          <w:rFonts w:asciiTheme="majorHAnsi" w:hAnsiTheme="majorHAnsi" w:cstheme="majorHAnsi"/>
        </w:rPr>
        <w:t xml:space="preserve">poverty </w:t>
      </w:r>
      <w:r w:rsidR="006530C8">
        <w:rPr>
          <w:rFonts w:asciiTheme="majorHAnsi" w:hAnsiTheme="majorHAnsi" w:cstheme="majorHAnsi"/>
        </w:rPr>
        <w:t xml:space="preserve">incidence </w:t>
      </w:r>
      <w:r w:rsidR="00544B5A">
        <w:rPr>
          <w:rFonts w:asciiTheme="majorHAnsi" w:hAnsiTheme="majorHAnsi" w:cstheme="majorHAnsi"/>
        </w:rPr>
        <w:t xml:space="preserve">makes it a relevant group </w:t>
      </w:r>
      <w:r w:rsidR="00EE55B3">
        <w:rPr>
          <w:rFonts w:asciiTheme="majorHAnsi" w:hAnsiTheme="majorHAnsi" w:cstheme="majorHAnsi"/>
        </w:rPr>
        <w:t>for th</w:t>
      </w:r>
      <w:r w:rsidR="00873F29">
        <w:rPr>
          <w:rFonts w:asciiTheme="majorHAnsi" w:hAnsiTheme="majorHAnsi" w:cstheme="majorHAnsi"/>
        </w:rPr>
        <w:t>e</w:t>
      </w:r>
      <w:r w:rsidR="00EE55B3">
        <w:rPr>
          <w:rFonts w:asciiTheme="majorHAnsi" w:hAnsiTheme="majorHAnsi" w:cstheme="majorHAnsi"/>
        </w:rPr>
        <w:t xml:space="preserve"> analysis</w:t>
      </w:r>
      <w:r w:rsidR="00873F29">
        <w:rPr>
          <w:rFonts w:asciiTheme="majorHAnsi" w:hAnsiTheme="majorHAnsi" w:cstheme="majorHAnsi"/>
        </w:rPr>
        <w:t xml:space="preserve"> in this note</w:t>
      </w:r>
      <w:r w:rsidR="00EE55B3">
        <w:rPr>
          <w:rFonts w:asciiTheme="majorHAnsi" w:hAnsiTheme="majorHAnsi" w:cstheme="majorHAnsi"/>
        </w:rPr>
        <w:t xml:space="preserve">, as understanding how the fiscal policy </w:t>
      </w:r>
      <w:r w:rsidR="00813D85">
        <w:rPr>
          <w:rFonts w:asciiTheme="majorHAnsi" w:hAnsiTheme="majorHAnsi" w:cstheme="majorHAnsi"/>
        </w:rPr>
        <w:t xml:space="preserve">supports </w:t>
      </w:r>
      <w:r w:rsidR="00A77BDE">
        <w:rPr>
          <w:rFonts w:asciiTheme="majorHAnsi" w:hAnsiTheme="majorHAnsi" w:cstheme="majorHAnsi"/>
        </w:rPr>
        <w:t xml:space="preserve">this population is key. </w:t>
      </w:r>
      <w:r w:rsidR="00824993">
        <w:rPr>
          <w:rFonts w:asciiTheme="majorHAnsi" w:hAnsiTheme="majorHAnsi" w:cstheme="majorHAnsi"/>
        </w:rPr>
        <w:t xml:space="preserve">It is worth noting, that although the incidence in poverty is higher in rural areas, poverty is concentrated in urban areas as 7 out of 10 poor </w:t>
      </w:r>
      <w:r w:rsidR="00C704F2">
        <w:rPr>
          <w:rFonts w:asciiTheme="majorHAnsi" w:hAnsiTheme="majorHAnsi" w:cstheme="majorHAnsi"/>
        </w:rPr>
        <w:t xml:space="preserve">Peruvians live in cities. </w:t>
      </w:r>
    </w:p>
    <w:p w14:paraId="41B0F1BC" w14:textId="77777777" w:rsidR="000E79C4" w:rsidRDefault="000E79C4" w:rsidP="006A08F8">
      <w:pPr>
        <w:spacing w:after="0"/>
        <w:jc w:val="both"/>
        <w:rPr>
          <w:rFonts w:asciiTheme="majorHAnsi" w:hAnsiTheme="majorHAnsi" w:cstheme="majorHAnsi"/>
        </w:rPr>
      </w:pPr>
    </w:p>
    <w:p w14:paraId="0876616F" w14:textId="5500AABA" w:rsidR="00474A43" w:rsidRDefault="000E79C4" w:rsidP="006A08F8">
      <w:pPr>
        <w:spacing w:after="0"/>
        <w:jc w:val="both"/>
        <w:rPr>
          <w:rFonts w:asciiTheme="majorHAnsi" w:hAnsiTheme="majorHAnsi" w:cstheme="majorHAnsi"/>
        </w:rPr>
      </w:pPr>
      <w:r>
        <w:rPr>
          <w:rFonts w:asciiTheme="majorHAnsi" w:hAnsiTheme="majorHAnsi" w:cstheme="majorHAnsi"/>
        </w:rPr>
        <w:t>The</w:t>
      </w:r>
      <w:r w:rsidR="00F94650">
        <w:rPr>
          <w:rFonts w:asciiTheme="majorHAnsi" w:hAnsiTheme="majorHAnsi" w:cstheme="majorHAnsi"/>
        </w:rPr>
        <w:t xml:space="preserve"> agricultural</w:t>
      </w:r>
      <w:r>
        <w:rPr>
          <w:rFonts w:asciiTheme="majorHAnsi" w:hAnsiTheme="majorHAnsi" w:cstheme="majorHAnsi"/>
        </w:rPr>
        <w:t xml:space="preserve"> </w:t>
      </w:r>
      <w:r w:rsidR="009E108A">
        <w:rPr>
          <w:rFonts w:asciiTheme="majorHAnsi" w:hAnsiTheme="majorHAnsi" w:cstheme="majorHAnsi"/>
        </w:rPr>
        <w:t>typology</w:t>
      </w:r>
      <w:r>
        <w:rPr>
          <w:rFonts w:asciiTheme="majorHAnsi" w:hAnsiTheme="majorHAnsi" w:cstheme="majorHAnsi"/>
        </w:rPr>
        <w:t xml:space="preserve"> </w:t>
      </w:r>
      <w:r w:rsidR="00546596">
        <w:rPr>
          <w:rFonts w:asciiTheme="majorHAnsi" w:hAnsiTheme="majorHAnsi" w:cstheme="majorHAnsi"/>
        </w:rPr>
        <w:t>go</w:t>
      </w:r>
      <w:r w:rsidR="00F94650">
        <w:rPr>
          <w:rFonts w:asciiTheme="majorHAnsi" w:hAnsiTheme="majorHAnsi" w:cstheme="majorHAnsi"/>
        </w:rPr>
        <w:t>es</w:t>
      </w:r>
      <w:r>
        <w:rPr>
          <w:rFonts w:asciiTheme="majorHAnsi" w:hAnsiTheme="majorHAnsi" w:cstheme="majorHAnsi"/>
        </w:rPr>
        <w:t xml:space="preserve"> beyond the</w:t>
      </w:r>
      <w:r w:rsidR="00F94650">
        <w:rPr>
          <w:rFonts w:asciiTheme="majorHAnsi" w:hAnsiTheme="majorHAnsi" w:cstheme="majorHAnsi"/>
        </w:rPr>
        <w:t xml:space="preserve"> conventional</w:t>
      </w:r>
      <w:r w:rsidR="00D611AA">
        <w:rPr>
          <w:rFonts w:asciiTheme="majorHAnsi" w:hAnsiTheme="majorHAnsi" w:cstheme="majorHAnsi"/>
        </w:rPr>
        <w:t xml:space="preserve"> </w:t>
      </w:r>
      <w:r w:rsidR="009E108A">
        <w:rPr>
          <w:rFonts w:asciiTheme="majorHAnsi" w:hAnsiTheme="majorHAnsi" w:cstheme="majorHAnsi"/>
        </w:rPr>
        <w:t>rural</w:t>
      </w:r>
      <w:r w:rsidR="00F94650">
        <w:rPr>
          <w:rFonts w:asciiTheme="majorHAnsi" w:hAnsiTheme="majorHAnsi" w:cstheme="majorHAnsi"/>
        </w:rPr>
        <w:t>-</w:t>
      </w:r>
      <w:r w:rsidR="009E108A">
        <w:rPr>
          <w:rFonts w:asciiTheme="majorHAnsi" w:hAnsiTheme="majorHAnsi" w:cstheme="majorHAnsi"/>
        </w:rPr>
        <w:t xml:space="preserve">urban </w:t>
      </w:r>
      <w:r w:rsidR="00F94650">
        <w:rPr>
          <w:rFonts w:asciiTheme="majorHAnsi" w:hAnsiTheme="majorHAnsi" w:cstheme="majorHAnsi"/>
        </w:rPr>
        <w:t>divide</w:t>
      </w:r>
      <w:r w:rsidR="009E108A">
        <w:rPr>
          <w:rFonts w:asciiTheme="majorHAnsi" w:hAnsiTheme="majorHAnsi" w:cstheme="majorHAnsi"/>
        </w:rPr>
        <w:t>.</w:t>
      </w:r>
      <w:r w:rsidR="0075019B">
        <w:rPr>
          <w:rFonts w:asciiTheme="majorHAnsi" w:hAnsiTheme="majorHAnsi" w:cstheme="majorHAnsi"/>
        </w:rPr>
        <w:t xml:space="preserve"> </w:t>
      </w:r>
      <w:r w:rsidR="001C7CA4">
        <w:rPr>
          <w:rFonts w:asciiTheme="majorHAnsi" w:hAnsiTheme="majorHAnsi" w:cstheme="majorHAnsi"/>
        </w:rPr>
        <w:t xml:space="preserve">In the agricultural </w:t>
      </w:r>
      <w:r w:rsidR="005179ED">
        <w:rPr>
          <w:rFonts w:asciiTheme="majorHAnsi" w:hAnsiTheme="majorHAnsi" w:cstheme="majorHAnsi"/>
        </w:rPr>
        <w:t>household models</w:t>
      </w:r>
      <w:r w:rsidR="001C7CA4">
        <w:rPr>
          <w:rFonts w:asciiTheme="majorHAnsi" w:hAnsiTheme="majorHAnsi" w:cstheme="majorHAnsi"/>
        </w:rPr>
        <w:t>, household</w:t>
      </w:r>
      <w:r w:rsidR="00F94650">
        <w:rPr>
          <w:rFonts w:asciiTheme="majorHAnsi" w:hAnsiTheme="majorHAnsi" w:cstheme="majorHAnsi"/>
        </w:rPr>
        <w:t>s</w:t>
      </w:r>
      <w:r w:rsidR="001C7CA4">
        <w:rPr>
          <w:rFonts w:asciiTheme="majorHAnsi" w:hAnsiTheme="majorHAnsi" w:cstheme="majorHAnsi"/>
        </w:rPr>
        <w:t xml:space="preserve"> </w:t>
      </w:r>
      <w:r w:rsidR="00F94650">
        <w:rPr>
          <w:rFonts w:asciiTheme="majorHAnsi" w:hAnsiTheme="majorHAnsi" w:cstheme="majorHAnsi"/>
        </w:rPr>
        <w:t xml:space="preserve">are </w:t>
      </w:r>
      <w:r w:rsidR="00957FCD">
        <w:rPr>
          <w:rFonts w:asciiTheme="majorHAnsi" w:hAnsiTheme="majorHAnsi" w:cstheme="majorHAnsi"/>
        </w:rPr>
        <w:t xml:space="preserve">defined </w:t>
      </w:r>
      <w:r w:rsidR="006077B1" w:rsidRPr="006077B1">
        <w:rPr>
          <w:rFonts w:asciiTheme="majorHAnsi" w:hAnsiTheme="majorHAnsi" w:cstheme="majorHAnsi"/>
        </w:rPr>
        <w:t xml:space="preserve">based on their dependence on farming for their livelihood. Broadly, an agricultural household is one where at least one member engages in agricultural production. </w:t>
      </w:r>
      <w:r w:rsidR="00244F17">
        <w:rPr>
          <w:rFonts w:asciiTheme="majorHAnsi" w:hAnsiTheme="majorHAnsi" w:cstheme="majorHAnsi"/>
        </w:rPr>
        <w:t xml:space="preserve">However, this </w:t>
      </w:r>
      <w:r w:rsidR="00244F17">
        <w:rPr>
          <w:rFonts w:asciiTheme="majorHAnsi" w:hAnsiTheme="majorHAnsi" w:cstheme="majorHAnsi"/>
        </w:rPr>
        <w:lastRenderedPageBreak/>
        <w:t xml:space="preserve">could potentially include those who garden </w:t>
      </w:r>
      <w:r w:rsidR="002D6CEB">
        <w:rPr>
          <w:rFonts w:asciiTheme="majorHAnsi" w:hAnsiTheme="majorHAnsi" w:cstheme="majorHAnsi"/>
        </w:rPr>
        <w:t>for hobby purposes</w:t>
      </w:r>
      <w:r w:rsidR="0032463A">
        <w:rPr>
          <w:rFonts w:asciiTheme="majorHAnsi" w:hAnsiTheme="majorHAnsi" w:cstheme="majorHAnsi"/>
        </w:rPr>
        <w:t>.</w:t>
      </w:r>
      <w:r w:rsidR="006C1447">
        <w:rPr>
          <w:rFonts w:asciiTheme="majorHAnsi" w:hAnsiTheme="majorHAnsi" w:cstheme="majorHAnsi"/>
        </w:rPr>
        <w:t xml:space="preserve"> To avoid this inclusion, </w:t>
      </w:r>
      <w:r w:rsidR="003B05F7" w:rsidRPr="003B05F7">
        <w:rPr>
          <w:rFonts w:asciiTheme="majorHAnsi" w:hAnsiTheme="majorHAnsi" w:cstheme="majorHAnsi"/>
        </w:rPr>
        <w:t>cut-offs such as days worked, area cultivated, or outputs must be considered (UN, 2007). For this study, agricultural households are defined as those where over 60</w:t>
      </w:r>
      <w:r w:rsidR="003E41F2">
        <w:rPr>
          <w:rFonts w:asciiTheme="majorHAnsi" w:hAnsiTheme="majorHAnsi" w:cstheme="majorHAnsi"/>
        </w:rPr>
        <w:t xml:space="preserve"> percent</w:t>
      </w:r>
      <w:r w:rsidR="003B05F7" w:rsidRPr="003B05F7">
        <w:rPr>
          <w:rFonts w:asciiTheme="majorHAnsi" w:hAnsiTheme="majorHAnsi" w:cstheme="majorHAnsi"/>
        </w:rPr>
        <w:t xml:space="preserve"> of labor income comes from agricultural activities or where over 50</w:t>
      </w:r>
      <w:r w:rsidR="003E41F2">
        <w:rPr>
          <w:rFonts w:asciiTheme="majorHAnsi" w:hAnsiTheme="majorHAnsi" w:cstheme="majorHAnsi"/>
        </w:rPr>
        <w:t xml:space="preserve"> percent</w:t>
      </w:r>
      <w:r w:rsidR="003B05F7" w:rsidRPr="003B05F7">
        <w:rPr>
          <w:rFonts w:asciiTheme="majorHAnsi" w:hAnsiTheme="majorHAnsi" w:cstheme="majorHAnsi"/>
        </w:rPr>
        <w:t xml:space="preserve"> of household members work in the agricultural sector.</w:t>
      </w:r>
      <w:r w:rsidR="003B05F7">
        <w:rPr>
          <w:rFonts w:asciiTheme="majorHAnsi" w:hAnsiTheme="majorHAnsi" w:cstheme="majorHAnsi"/>
        </w:rPr>
        <w:t xml:space="preserve"> </w:t>
      </w:r>
    </w:p>
    <w:p w14:paraId="5253D632" w14:textId="77777777" w:rsidR="003B05F7" w:rsidRDefault="003B05F7" w:rsidP="006A08F8">
      <w:pPr>
        <w:spacing w:after="0"/>
        <w:jc w:val="both"/>
        <w:rPr>
          <w:rFonts w:asciiTheme="majorHAnsi" w:hAnsiTheme="majorHAnsi" w:cstheme="majorHAnsi"/>
        </w:rPr>
      </w:pPr>
    </w:p>
    <w:p w14:paraId="4B973BB1" w14:textId="233D9C53" w:rsidR="00E735D1" w:rsidRDefault="008C4152" w:rsidP="006A08F8">
      <w:pPr>
        <w:spacing w:after="0"/>
        <w:jc w:val="both"/>
        <w:rPr>
          <w:rFonts w:asciiTheme="majorHAnsi" w:hAnsiTheme="majorHAnsi" w:cstheme="majorHAnsi"/>
        </w:rPr>
      </w:pPr>
      <w:r>
        <w:rPr>
          <w:rFonts w:asciiTheme="majorHAnsi" w:hAnsiTheme="majorHAnsi" w:cstheme="majorHAnsi"/>
        </w:rPr>
        <w:t>A</w:t>
      </w:r>
      <w:r w:rsidR="00FF257F">
        <w:rPr>
          <w:rFonts w:asciiTheme="majorHAnsi" w:hAnsiTheme="majorHAnsi" w:cstheme="majorHAnsi"/>
        </w:rPr>
        <w:t xml:space="preserve">gricultural households </w:t>
      </w:r>
      <w:r w:rsidR="0012463A">
        <w:rPr>
          <w:rFonts w:asciiTheme="majorHAnsi" w:hAnsiTheme="majorHAnsi" w:cstheme="majorHAnsi"/>
        </w:rPr>
        <w:t xml:space="preserve">are the </w:t>
      </w:r>
      <w:r>
        <w:rPr>
          <w:rFonts w:asciiTheme="majorHAnsi" w:hAnsiTheme="majorHAnsi" w:cstheme="majorHAnsi"/>
        </w:rPr>
        <w:t>minority of households in Peru</w:t>
      </w:r>
      <w:r w:rsidR="00290947" w:rsidRPr="00290947">
        <w:rPr>
          <w:rFonts w:asciiTheme="majorHAnsi" w:hAnsiTheme="majorHAnsi" w:cstheme="majorHAnsi"/>
        </w:rPr>
        <w:t xml:space="preserve"> but represent a disproportionate share of the poor. Based on the definitions above, 24.4</w:t>
      </w:r>
      <w:r w:rsidR="00290947">
        <w:rPr>
          <w:rFonts w:asciiTheme="majorHAnsi" w:hAnsiTheme="majorHAnsi" w:cstheme="majorHAnsi"/>
        </w:rPr>
        <w:t xml:space="preserve"> percent</w:t>
      </w:r>
      <w:r w:rsidR="00290947" w:rsidRPr="00290947">
        <w:rPr>
          <w:rFonts w:asciiTheme="majorHAnsi" w:hAnsiTheme="majorHAnsi" w:cstheme="majorHAnsi"/>
        </w:rPr>
        <w:t xml:space="preserve"> of households primarily rely on agricultural activities for their livelihood, while the remaining 75.6</w:t>
      </w:r>
      <w:r w:rsidR="00290947">
        <w:rPr>
          <w:rFonts w:asciiTheme="majorHAnsi" w:hAnsiTheme="majorHAnsi" w:cstheme="majorHAnsi"/>
        </w:rPr>
        <w:t xml:space="preserve"> percent </w:t>
      </w:r>
      <w:r w:rsidR="00290947" w:rsidRPr="00290947">
        <w:rPr>
          <w:rFonts w:asciiTheme="majorHAnsi" w:hAnsiTheme="majorHAnsi" w:cstheme="majorHAnsi"/>
        </w:rPr>
        <w:t>either have no members working in agriculture or rely less intensively on it. Yet, more than half (51.6</w:t>
      </w:r>
      <w:r w:rsidR="00290947">
        <w:rPr>
          <w:rFonts w:asciiTheme="majorHAnsi" w:hAnsiTheme="majorHAnsi" w:cstheme="majorHAnsi"/>
        </w:rPr>
        <w:t xml:space="preserve"> percent</w:t>
      </w:r>
      <w:r w:rsidR="00290947" w:rsidRPr="00290947">
        <w:rPr>
          <w:rFonts w:asciiTheme="majorHAnsi" w:hAnsiTheme="majorHAnsi" w:cstheme="majorHAnsi"/>
        </w:rPr>
        <w:t>) of poor households are agricultural households, underscoring how economic and family dynamics within these households shape the country’s poverty profile.</w:t>
      </w:r>
    </w:p>
    <w:p w14:paraId="0627DC13" w14:textId="77777777" w:rsidR="000C7D4B" w:rsidRDefault="000C7D4B" w:rsidP="006A08F8">
      <w:pPr>
        <w:spacing w:after="0"/>
        <w:jc w:val="both"/>
        <w:rPr>
          <w:rFonts w:asciiTheme="majorHAnsi" w:hAnsiTheme="majorHAnsi" w:cstheme="majorHAnsi"/>
        </w:rPr>
      </w:pPr>
    </w:p>
    <w:p w14:paraId="2488FB30" w14:textId="620AD8EF" w:rsidR="000C7D4B" w:rsidRDefault="00C208D8" w:rsidP="006A08F8">
      <w:pPr>
        <w:spacing w:after="0"/>
        <w:jc w:val="both"/>
        <w:rPr>
          <w:rFonts w:asciiTheme="majorHAnsi" w:hAnsiTheme="majorHAnsi" w:cstheme="majorHAnsi"/>
        </w:rPr>
      </w:pPr>
      <w:r w:rsidRPr="00C208D8">
        <w:rPr>
          <w:rFonts w:asciiTheme="majorHAnsi" w:hAnsiTheme="majorHAnsi" w:cstheme="majorHAnsi"/>
        </w:rPr>
        <w:t>It is important to distinguish agricultural households from rural households, as they are not equivalent</w:t>
      </w:r>
      <w:r w:rsidR="008E4C58">
        <w:rPr>
          <w:rFonts w:asciiTheme="majorHAnsi" w:hAnsiTheme="majorHAnsi" w:cstheme="majorHAnsi"/>
        </w:rPr>
        <w:t>.</w:t>
      </w:r>
      <w:r>
        <w:rPr>
          <w:rFonts w:asciiTheme="majorHAnsi" w:hAnsiTheme="majorHAnsi" w:cstheme="majorHAnsi"/>
        </w:rPr>
        <w:t xml:space="preserve"> As illustrated in</w:t>
      </w:r>
      <w:r w:rsidR="008E4C58">
        <w:rPr>
          <w:rFonts w:asciiTheme="majorHAnsi" w:hAnsiTheme="majorHAnsi" w:cstheme="majorHAnsi"/>
        </w:rPr>
        <w:t xml:space="preserve"> </w:t>
      </w:r>
      <w:r w:rsidR="000A1ABF">
        <w:rPr>
          <w:rFonts w:asciiTheme="majorHAnsi" w:hAnsiTheme="majorHAnsi" w:cstheme="majorHAnsi"/>
        </w:rPr>
        <w:t>Figure 8</w:t>
      </w:r>
      <w:r>
        <w:rPr>
          <w:rFonts w:asciiTheme="majorHAnsi" w:hAnsiTheme="majorHAnsi" w:cstheme="majorHAnsi"/>
        </w:rPr>
        <w:t xml:space="preserve">, </w:t>
      </w:r>
      <w:r w:rsidR="008E4C58">
        <w:rPr>
          <w:rFonts w:asciiTheme="majorHAnsi" w:hAnsiTheme="majorHAnsi" w:cstheme="majorHAnsi"/>
        </w:rPr>
        <w:t xml:space="preserve">77 percent of </w:t>
      </w:r>
      <w:r w:rsidR="000E139F">
        <w:rPr>
          <w:rFonts w:asciiTheme="majorHAnsi" w:hAnsiTheme="majorHAnsi" w:cstheme="majorHAnsi"/>
        </w:rPr>
        <w:t xml:space="preserve">rural households also fall under the definition of agricultural households, </w:t>
      </w:r>
      <w:r w:rsidR="001A225B">
        <w:rPr>
          <w:rFonts w:asciiTheme="majorHAnsi" w:hAnsiTheme="majorHAnsi" w:cstheme="majorHAnsi"/>
        </w:rPr>
        <w:t>leaving</w:t>
      </w:r>
      <w:r w:rsidR="000E139F">
        <w:rPr>
          <w:rFonts w:asciiTheme="majorHAnsi" w:hAnsiTheme="majorHAnsi" w:cstheme="majorHAnsi"/>
        </w:rPr>
        <w:t xml:space="preserve"> the remaining 2</w:t>
      </w:r>
      <w:r w:rsidR="00D90DDD">
        <w:rPr>
          <w:rFonts w:asciiTheme="majorHAnsi" w:hAnsiTheme="majorHAnsi" w:cstheme="majorHAnsi"/>
        </w:rPr>
        <w:t>3</w:t>
      </w:r>
      <w:r w:rsidR="000E139F">
        <w:rPr>
          <w:rFonts w:asciiTheme="majorHAnsi" w:hAnsiTheme="majorHAnsi" w:cstheme="majorHAnsi"/>
        </w:rPr>
        <w:t xml:space="preserve"> percent of rural households </w:t>
      </w:r>
      <w:r w:rsidR="001A225B">
        <w:rPr>
          <w:rFonts w:asciiTheme="majorHAnsi" w:hAnsiTheme="majorHAnsi" w:cstheme="majorHAnsi"/>
        </w:rPr>
        <w:t>classified as n</w:t>
      </w:r>
      <w:r w:rsidR="000E139F">
        <w:rPr>
          <w:rFonts w:asciiTheme="majorHAnsi" w:hAnsiTheme="majorHAnsi" w:cstheme="majorHAnsi"/>
        </w:rPr>
        <w:t xml:space="preserve">on-agricultural households. </w:t>
      </w:r>
      <w:r w:rsidR="001A225B">
        <w:rPr>
          <w:rFonts w:asciiTheme="majorHAnsi" w:hAnsiTheme="majorHAnsi" w:cstheme="majorHAnsi"/>
        </w:rPr>
        <w:t>Similarly</w:t>
      </w:r>
      <w:r w:rsidR="000E139F">
        <w:rPr>
          <w:rFonts w:asciiTheme="majorHAnsi" w:hAnsiTheme="majorHAnsi" w:cstheme="majorHAnsi"/>
        </w:rPr>
        <w:t>, out of all urban households, 9 percent are considered agricultural households.</w:t>
      </w:r>
      <w:r w:rsidR="00DD7EC0">
        <w:rPr>
          <w:rFonts w:asciiTheme="majorHAnsi" w:hAnsiTheme="majorHAnsi" w:cstheme="majorHAnsi"/>
        </w:rPr>
        <w:t xml:space="preserve"> </w:t>
      </w:r>
      <w:r w:rsidR="00B35450">
        <w:rPr>
          <w:rFonts w:asciiTheme="majorHAnsi" w:hAnsiTheme="majorHAnsi" w:cstheme="majorHAnsi"/>
        </w:rPr>
        <w:t xml:space="preserve">Moreover, </w:t>
      </w:r>
      <w:r w:rsidR="00942525">
        <w:rPr>
          <w:rFonts w:asciiTheme="majorHAnsi" w:hAnsiTheme="majorHAnsi" w:cstheme="majorHAnsi"/>
        </w:rPr>
        <w:t xml:space="preserve">as seen above, the </w:t>
      </w:r>
      <w:r w:rsidR="00D01AF0">
        <w:rPr>
          <w:rFonts w:asciiTheme="majorHAnsi" w:hAnsiTheme="majorHAnsi" w:cstheme="majorHAnsi"/>
        </w:rPr>
        <w:t xml:space="preserve">overrepresentation of poverty among agricultural households </w:t>
      </w:r>
      <w:r w:rsidR="0056651D">
        <w:rPr>
          <w:rFonts w:asciiTheme="majorHAnsi" w:hAnsiTheme="majorHAnsi" w:cstheme="majorHAnsi"/>
        </w:rPr>
        <w:t>exceeds</w:t>
      </w:r>
      <w:r w:rsidR="00D01AF0">
        <w:rPr>
          <w:rFonts w:asciiTheme="majorHAnsi" w:hAnsiTheme="majorHAnsi" w:cstheme="majorHAnsi"/>
        </w:rPr>
        <w:t xml:space="preserve"> that </w:t>
      </w:r>
      <w:r w:rsidR="0056651D">
        <w:rPr>
          <w:rFonts w:asciiTheme="majorHAnsi" w:hAnsiTheme="majorHAnsi" w:cstheme="majorHAnsi"/>
        </w:rPr>
        <w:t>of</w:t>
      </w:r>
      <w:r w:rsidR="00D01AF0">
        <w:rPr>
          <w:rFonts w:asciiTheme="majorHAnsi" w:hAnsiTheme="majorHAnsi" w:cstheme="majorHAnsi"/>
        </w:rPr>
        <w:t xml:space="preserve"> rural households, </w:t>
      </w:r>
      <w:r w:rsidR="0056651D">
        <w:rPr>
          <w:rFonts w:asciiTheme="majorHAnsi" w:hAnsiTheme="majorHAnsi" w:cstheme="majorHAnsi"/>
        </w:rPr>
        <w:t>highlighting</w:t>
      </w:r>
      <w:r w:rsidR="00D01AF0">
        <w:rPr>
          <w:rFonts w:asciiTheme="majorHAnsi" w:hAnsiTheme="majorHAnsi" w:cstheme="majorHAnsi"/>
        </w:rPr>
        <w:t xml:space="preserve"> the relevance of </w:t>
      </w:r>
      <w:r w:rsidR="0056651D">
        <w:rPr>
          <w:rFonts w:asciiTheme="majorHAnsi" w:hAnsiTheme="majorHAnsi" w:cstheme="majorHAnsi"/>
        </w:rPr>
        <w:t xml:space="preserve">using this typology </w:t>
      </w:r>
      <w:r w:rsidR="000077AC">
        <w:rPr>
          <w:rFonts w:asciiTheme="majorHAnsi" w:hAnsiTheme="majorHAnsi" w:cstheme="majorHAnsi"/>
        </w:rPr>
        <w:t>for f</w:t>
      </w:r>
      <w:r w:rsidR="00D01AF0">
        <w:rPr>
          <w:rFonts w:asciiTheme="majorHAnsi" w:hAnsiTheme="majorHAnsi" w:cstheme="majorHAnsi"/>
        </w:rPr>
        <w:t>iscal incidence analysi</w:t>
      </w:r>
      <w:r w:rsidR="000077AC">
        <w:rPr>
          <w:rFonts w:asciiTheme="majorHAnsi" w:hAnsiTheme="majorHAnsi" w:cstheme="majorHAnsi"/>
        </w:rPr>
        <w:t xml:space="preserve">s. </w:t>
      </w:r>
    </w:p>
    <w:p w14:paraId="62F4241E" w14:textId="77777777" w:rsidR="00F21D21" w:rsidRDefault="00F21D21" w:rsidP="006A08F8">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8035"/>
      </w:tblGrid>
      <w:tr w:rsidR="00F21D21" w14:paraId="4B628F39" w14:textId="77777777" w:rsidTr="00290D56">
        <w:trPr>
          <w:trHeight w:val="232"/>
        </w:trPr>
        <w:tc>
          <w:tcPr>
            <w:tcW w:w="8035" w:type="dxa"/>
          </w:tcPr>
          <w:p w14:paraId="466FD59C" w14:textId="0215B0FB" w:rsidR="00F21D21" w:rsidRDefault="00F21D21" w:rsidP="006A08F8">
            <w:pPr>
              <w:jc w:val="both"/>
              <w:rPr>
                <w:rFonts w:asciiTheme="majorHAnsi" w:hAnsiTheme="majorHAnsi" w:cstheme="majorHAnsi"/>
              </w:rPr>
            </w:pPr>
            <w:bookmarkStart w:id="7" w:name="_Ref177037487"/>
            <w:r w:rsidRPr="00F21D21">
              <w:rPr>
                <w:rFonts w:asciiTheme="majorHAnsi" w:hAnsiTheme="majorHAnsi" w:cstheme="majorHAnsi"/>
              </w:rPr>
              <w:t xml:space="preserve">Figure </w:t>
            </w:r>
            <w:r w:rsidRPr="00F21D21">
              <w:rPr>
                <w:rFonts w:asciiTheme="majorHAnsi" w:hAnsiTheme="majorHAnsi" w:cstheme="majorHAnsi"/>
              </w:rPr>
              <w:fldChar w:fldCharType="begin"/>
            </w:r>
            <w:r w:rsidRPr="00F21D21">
              <w:rPr>
                <w:rFonts w:asciiTheme="majorHAnsi" w:hAnsiTheme="majorHAnsi" w:cstheme="majorHAnsi"/>
              </w:rPr>
              <w:instrText xml:space="preserve"> SEQ Figure \* ARABIC </w:instrText>
            </w:r>
            <w:r w:rsidRPr="00F21D21">
              <w:rPr>
                <w:rFonts w:asciiTheme="majorHAnsi" w:hAnsiTheme="majorHAnsi" w:cstheme="majorHAnsi"/>
              </w:rPr>
              <w:fldChar w:fldCharType="separate"/>
            </w:r>
            <w:r w:rsidR="00B71781">
              <w:rPr>
                <w:rFonts w:asciiTheme="majorHAnsi" w:hAnsiTheme="majorHAnsi" w:cstheme="majorHAnsi"/>
                <w:noProof/>
              </w:rPr>
              <w:t>7</w:t>
            </w:r>
            <w:r w:rsidRPr="00F21D21">
              <w:rPr>
                <w:rFonts w:asciiTheme="majorHAnsi" w:hAnsiTheme="majorHAnsi" w:cstheme="majorHAnsi"/>
              </w:rPr>
              <w:fldChar w:fldCharType="end"/>
            </w:r>
            <w:bookmarkEnd w:id="7"/>
            <w:r w:rsidRPr="00F21D21">
              <w:rPr>
                <w:rFonts w:asciiTheme="majorHAnsi" w:hAnsiTheme="majorHAnsi" w:cstheme="majorHAnsi"/>
              </w:rPr>
              <w:t>.</w:t>
            </w:r>
            <w:r w:rsidRPr="00BD3182">
              <w:rPr>
                <w:rFonts w:asciiTheme="majorHAnsi" w:hAnsiTheme="majorHAnsi" w:cstheme="majorHAnsi"/>
              </w:rPr>
              <w:t xml:space="preserve"> Distribution of households by </w:t>
            </w:r>
            <w:r>
              <w:rPr>
                <w:rFonts w:asciiTheme="majorHAnsi" w:hAnsiTheme="majorHAnsi" w:cstheme="majorHAnsi"/>
              </w:rPr>
              <w:t xml:space="preserve">dependence on agriculture </w:t>
            </w:r>
            <w:r w:rsidRPr="00BD3182">
              <w:rPr>
                <w:rFonts w:asciiTheme="majorHAnsi" w:hAnsiTheme="majorHAnsi" w:cstheme="majorHAnsi"/>
              </w:rPr>
              <w:t>and poverty status</w:t>
            </w:r>
          </w:p>
        </w:tc>
      </w:tr>
      <w:tr w:rsidR="00F21D21" w14:paraId="43B187A9" w14:textId="77777777" w:rsidTr="00290D56">
        <w:trPr>
          <w:trHeight w:val="2804"/>
        </w:trPr>
        <w:tc>
          <w:tcPr>
            <w:tcW w:w="8035" w:type="dxa"/>
          </w:tcPr>
          <w:p w14:paraId="1F1D5779" w14:textId="5B9DF31F" w:rsidR="00F21D21" w:rsidRDefault="00F21D21" w:rsidP="00F21D21">
            <w:pPr>
              <w:jc w:val="both"/>
              <w:rPr>
                <w:rFonts w:asciiTheme="majorHAnsi" w:hAnsiTheme="majorHAnsi" w:cstheme="majorHAnsi"/>
              </w:rPr>
            </w:pPr>
            <w:r>
              <w:rPr>
                <w:noProof/>
              </w:rPr>
              <w:drawing>
                <wp:inline distT="0" distB="0" distL="0" distR="0" wp14:anchorId="4D59EF35" wp14:editId="2E9BF79F">
                  <wp:extent cx="4692770" cy="1837427"/>
                  <wp:effectExtent l="0" t="0" r="0" b="0"/>
                  <wp:docPr id="34" name="Chart 34">
                    <a:extLst xmlns:a="http://schemas.openxmlformats.org/drawingml/2006/main">
                      <a:ext uri="{FF2B5EF4-FFF2-40B4-BE49-F238E27FC236}">
                        <a16:creationId xmlns:a16="http://schemas.microsoft.com/office/drawing/2014/main" id="{16BBC594-A42D-45F1-B9C8-F7737BD4F4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F21D21" w14:paraId="133D0123" w14:textId="77777777" w:rsidTr="00290D56">
        <w:trPr>
          <w:trHeight w:val="210"/>
        </w:trPr>
        <w:tc>
          <w:tcPr>
            <w:tcW w:w="8035" w:type="dxa"/>
          </w:tcPr>
          <w:p w14:paraId="0CAE3BE9" w14:textId="63B6FF6C" w:rsidR="00F21D21" w:rsidRDefault="00F21D21" w:rsidP="006A08F8">
            <w:pPr>
              <w:jc w:val="both"/>
              <w:rPr>
                <w:rFonts w:asciiTheme="majorHAnsi" w:hAnsiTheme="majorHAnsi" w:cstheme="majorHAnsi"/>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1AB2255F" w14:textId="77777777" w:rsidR="00F21D21" w:rsidRDefault="00F21D21" w:rsidP="006A08F8">
      <w:pPr>
        <w:spacing w:after="0"/>
        <w:jc w:val="both"/>
        <w:rPr>
          <w:rFonts w:asciiTheme="majorHAnsi" w:hAnsiTheme="majorHAnsi" w:cstheme="majorHAnsi"/>
        </w:rPr>
      </w:pPr>
    </w:p>
    <w:tbl>
      <w:tblPr>
        <w:tblW w:w="10080"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080"/>
      </w:tblGrid>
      <w:tr w:rsidR="006A08F8" w:rsidRPr="000A1880" w14:paraId="0E1F0979" w14:textId="77777777">
        <w:trPr>
          <w:trHeight w:val="396"/>
          <w:jc w:val="center"/>
        </w:trPr>
        <w:tc>
          <w:tcPr>
            <w:tcW w:w="10080" w:type="dxa"/>
            <w:tcBorders>
              <w:top w:val="nil"/>
              <w:left w:val="nil"/>
              <w:bottom w:val="nil"/>
              <w:right w:val="nil"/>
            </w:tcBorders>
            <w:hideMark/>
          </w:tcPr>
          <w:tbl>
            <w:tblPr>
              <w:tblStyle w:val="TableGrid"/>
              <w:tblW w:w="0" w:type="auto"/>
              <w:jc w:val="cente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ayout w:type="fixed"/>
              <w:tblLook w:val="04A0" w:firstRow="1" w:lastRow="0" w:firstColumn="1" w:lastColumn="0" w:noHBand="0" w:noVBand="1"/>
            </w:tblPr>
            <w:tblGrid>
              <w:gridCol w:w="9350"/>
            </w:tblGrid>
            <w:tr w:rsidR="00F21D21" w14:paraId="77303DFB" w14:textId="77777777" w:rsidTr="008224F4">
              <w:trPr>
                <w:jc w:val="center"/>
              </w:trPr>
              <w:tc>
                <w:tcPr>
                  <w:tcW w:w="9350" w:type="dxa"/>
                </w:tcPr>
                <w:p w14:paraId="789B4197" w14:textId="2E15857D" w:rsidR="00F21D21" w:rsidRPr="00C57ABB" w:rsidRDefault="00F21D21" w:rsidP="008224F4">
                  <w:pPr>
                    <w:pStyle w:val="ListParagraph"/>
                    <w:ind w:left="360"/>
                    <w:textAlignment w:val="baseline"/>
                    <w:rPr>
                      <w:rFonts w:asciiTheme="majorHAnsi" w:hAnsiTheme="majorHAnsi" w:cstheme="majorHAnsi"/>
                      <w:sz w:val="18"/>
                      <w:szCs w:val="18"/>
                    </w:rPr>
                  </w:pPr>
                  <w:bookmarkStart w:id="8" w:name="_Ref177037615"/>
                  <w:r w:rsidRPr="00F21D21">
                    <w:rPr>
                      <w:rFonts w:asciiTheme="majorHAnsi" w:hAnsiTheme="majorHAnsi" w:cstheme="majorHAnsi"/>
                    </w:rPr>
                    <w:t xml:space="preserve">Figure </w:t>
                  </w:r>
                  <w:r w:rsidRPr="00F21D21">
                    <w:rPr>
                      <w:rFonts w:asciiTheme="majorHAnsi" w:hAnsiTheme="majorHAnsi" w:cstheme="majorHAnsi"/>
                    </w:rPr>
                    <w:fldChar w:fldCharType="begin"/>
                  </w:r>
                  <w:r w:rsidRPr="00F21D21">
                    <w:rPr>
                      <w:rFonts w:asciiTheme="majorHAnsi" w:hAnsiTheme="majorHAnsi" w:cstheme="majorHAnsi"/>
                    </w:rPr>
                    <w:instrText xml:space="preserve"> SEQ Figure \* ARABIC </w:instrText>
                  </w:r>
                  <w:r w:rsidRPr="00F21D21">
                    <w:rPr>
                      <w:rFonts w:asciiTheme="majorHAnsi" w:hAnsiTheme="majorHAnsi" w:cstheme="majorHAnsi"/>
                    </w:rPr>
                    <w:fldChar w:fldCharType="separate"/>
                  </w:r>
                  <w:r w:rsidR="00B71781">
                    <w:rPr>
                      <w:rFonts w:asciiTheme="majorHAnsi" w:hAnsiTheme="majorHAnsi" w:cstheme="majorHAnsi"/>
                      <w:noProof/>
                    </w:rPr>
                    <w:t>8</w:t>
                  </w:r>
                  <w:r w:rsidRPr="00F21D21">
                    <w:rPr>
                      <w:rFonts w:asciiTheme="majorHAnsi" w:hAnsiTheme="majorHAnsi" w:cstheme="majorHAnsi"/>
                    </w:rPr>
                    <w:fldChar w:fldCharType="end"/>
                  </w:r>
                  <w:bookmarkEnd w:id="8"/>
                  <w:r w:rsidRPr="00F21D21">
                    <w:rPr>
                      <w:rFonts w:asciiTheme="majorHAnsi" w:hAnsiTheme="majorHAnsi" w:cstheme="majorHAnsi"/>
                    </w:rPr>
                    <w:t>.</w:t>
                  </w:r>
                  <w:bookmarkStart w:id="9" w:name="_Ref175739541"/>
                  <w:r w:rsidRPr="00BD3182">
                    <w:rPr>
                      <w:rFonts w:asciiTheme="majorHAnsi" w:hAnsiTheme="majorHAnsi" w:cstheme="majorHAnsi"/>
                    </w:rPr>
                    <w:t xml:space="preserve"> Distribution of </w:t>
                  </w:r>
                  <w:r>
                    <w:rPr>
                      <w:rFonts w:asciiTheme="majorHAnsi" w:hAnsiTheme="majorHAnsi" w:cstheme="majorHAnsi"/>
                    </w:rPr>
                    <w:t xml:space="preserve">agricultural </w:t>
                  </w:r>
                  <w:r w:rsidRPr="00BD3182">
                    <w:rPr>
                      <w:rFonts w:asciiTheme="majorHAnsi" w:hAnsiTheme="majorHAnsi" w:cstheme="majorHAnsi"/>
                    </w:rPr>
                    <w:t xml:space="preserve">households by </w:t>
                  </w:r>
                  <w:r>
                    <w:rPr>
                      <w:rFonts w:asciiTheme="majorHAnsi" w:hAnsiTheme="majorHAnsi" w:cstheme="majorHAnsi"/>
                    </w:rPr>
                    <w:t>urban/rural areas</w:t>
                  </w:r>
                  <w:bookmarkEnd w:id="9"/>
                  <w:r w:rsidR="00C57ABB">
                    <w:rPr>
                      <w:rFonts w:asciiTheme="majorHAnsi" w:hAnsiTheme="majorHAnsi" w:cstheme="majorHAnsi"/>
                    </w:rPr>
                    <w:t xml:space="preserve"> (%)</w:t>
                  </w:r>
                </w:p>
              </w:tc>
            </w:tr>
            <w:tr w:rsidR="00F21D21" w14:paraId="0E3A8D59" w14:textId="77777777" w:rsidTr="008224F4">
              <w:trPr>
                <w:jc w:val="center"/>
              </w:trPr>
              <w:tc>
                <w:tcPr>
                  <w:tcW w:w="9350" w:type="dxa"/>
                </w:tcPr>
                <w:p w14:paraId="3276AF94" w14:textId="79479029" w:rsidR="00F21D21" w:rsidRDefault="00F21D21" w:rsidP="00F21D21">
                  <w:pPr>
                    <w:jc w:val="both"/>
                    <w:rPr>
                      <w:rFonts w:asciiTheme="majorHAnsi" w:hAnsiTheme="majorHAnsi" w:cstheme="majorHAnsi"/>
                    </w:rPr>
                  </w:pPr>
                  <w:r>
                    <w:rPr>
                      <w:noProof/>
                    </w:rPr>
                    <w:drawing>
                      <wp:inline distT="0" distB="0" distL="0" distR="0" wp14:anchorId="01FC688B" wp14:editId="49727180">
                        <wp:extent cx="4321833" cy="1440612"/>
                        <wp:effectExtent l="0" t="0" r="2540" b="7620"/>
                        <wp:docPr id="38" name="Chart 38">
                          <a:extLst xmlns:a="http://schemas.openxmlformats.org/drawingml/2006/main">
                            <a:ext uri="{FF2B5EF4-FFF2-40B4-BE49-F238E27FC236}">
                              <a16:creationId xmlns:a16="http://schemas.microsoft.com/office/drawing/2014/main" id="{C72A907B-2493-8813-CFD8-B9A47D011C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F21D21" w14:paraId="67F228EC" w14:textId="77777777" w:rsidTr="008224F4">
              <w:trPr>
                <w:jc w:val="center"/>
              </w:trPr>
              <w:tc>
                <w:tcPr>
                  <w:tcW w:w="9350" w:type="dxa"/>
                </w:tcPr>
                <w:p w14:paraId="774D34DE" w14:textId="77777777" w:rsidR="00F21D21" w:rsidRDefault="00F21D21" w:rsidP="00F21D21">
                  <w:pPr>
                    <w:jc w:val="both"/>
                    <w:rPr>
                      <w:rFonts w:asciiTheme="majorHAnsi" w:hAnsiTheme="majorHAnsi" w:cstheme="majorHAnsi"/>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6136CB38" w14:textId="08A856FB" w:rsidR="006A08F8" w:rsidRPr="00B2335B" w:rsidRDefault="006A08F8">
            <w:pPr>
              <w:pStyle w:val="ListParagraph"/>
              <w:spacing w:after="0"/>
              <w:ind w:left="360"/>
              <w:jc w:val="center"/>
              <w:textAlignment w:val="baseline"/>
              <w:rPr>
                <w:rFonts w:asciiTheme="majorHAnsi" w:hAnsiTheme="majorHAnsi" w:cstheme="majorHAnsi"/>
              </w:rPr>
            </w:pPr>
          </w:p>
        </w:tc>
      </w:tr>
    </w:tbl>
    <w:p w14:paraId="5B6DA624" w14:textId="77777777" w:rsidR="00290D56" w:rsidRDefault="00290D56" w:rsidP="00290D56"/>
    <w:p w14:paraId="74090BA4" w14:textId="1E591B01" w:rsidR="001205F9" w:rsidRPr="001205F9" w:rsidRDefault="001205F9" w:rsidP="00290D56">
      <w:pPr>
        <w:pStyle w:val="Heading1"/>
      </w:pPr>
      <w:r w:rsidRPr="001205F9">
        <w:lastRenderedPageBreak/>
        <w:t>Results</w:t>
      </w:r>
    </w:p>
    <w:p w14:paraId="07B3C1A7" w14:textId="256AB5D8" w:rsidR="001205F9" w:rsidRPr="001205F9" w:rsidRDefault="001205F9" w:rsidP="00290D56">
      <w:pPr>
        <w:pStyle w:val="Heading2"/>
        <w:numPr>
          <w:ilvl w:val="0"/>
          <w:numId w:val="0"/>
        </w:numPr>
        <w:spacing w:before="0"/>
      </w:pPr>
    </w:p>
    <w:p w14:paraId="542C1937" w14:textId="16BA45EB" w:rsidR="00877616" w:rsidRDefault="003744B9" w:rsidP="00290D56">
      <w:pPr>
        <w:spacing w:after="0"/>
        <w:jc w:val="both"/>
        <w:rPr>
          <w:rFonts w:asciiTheme="majorHAnsi" w:hAnsiTheme="majorHAnsi" w:cstheme="majorHAnsi"/>
        </w:rPr>
      </w:pPr>
      <w:r w:rsidRPr="009921DE">
        <w:rPr>
          <w:rFonts w:asciiTheme="majorHAnsi" w:hAnsiTheme="majorHAnsi" w:cstheme="majorHAnsi"/>
        </w:rPr>
        <w:t xml:space="preserve">The fiscal system </w:t>
      </w:r>
      <w:r w:rsidR="0003692D" w:rsidRPr="009921DE">
        <w:rPr>
          <w:rFonts w:asciiTheme="majorHAnsi" w:hAnsiTheme="majorHAnsi" w:cstheme="majorHAnsi"/>
        </w:rPr>
        <w:t>in</w:t>
      </w:r>
      <w:r w:rsidR="007408CE" w:rsidRPr="009921DE">
        <w:rPr>
          <w:rFonts w:asciiTheme="majorHAnsi" w:hAnsiTheme="majorHAnsi" w:cstheme="majorHAnsi"/>
        </w:rPr>
        <w:t>crease</w:t>
      </w:r>
      <w:r w:rsidR="00F3195C">
        <w:rPr>
          <w:rFonts w:asciiTheme="majorHAnsi" w:hAnsiTheme="majorHAnsi" w:cstheme="majorHAnsi"/>
        </w:rPr>
        <w:t>s</w:t>
      </w:r>
      <w:r w:rsidR="007408CE" w:rsidRPr="009921DE">
        <w:rPr>
          <w:rFonts w:asciiTheme="majorHAnsi" w:hAnsiTheme="majorHAnsi" w:cstheme="majorHAnsi"/>
        </w:rPr>
        <w:t xml:space="preserve"> poverty at the national level in Peru.</w:t>
      </w:r>
      <w:r w:rsidR="00CF5F40" w:rsidRPr="009921DE">
        <w:rPr>
          <w:rFonts w:asciiTheme="majorHAnsi" w:hAnsiTheme="majorHAnsi" w:cstheme="majorHAnsi"/>
        </w:rPr>
        <w:t xml:space="preserve"> </w:t>
      </w:r>
      <w:r w:rsidR="00781E99" w:rsidRPr="009921DE">
        <w:rPr>
          <w:rFonts w:asciiTheme="majorHAnsi" w:hAnsiTheme="majorHAnsi" w:cstheme="majorHAnsi"/>
        </w:rPr>
        <w:t xml:space="preserve">When </w:t>
      </w:r>
      <w:r w:rsidR="007E4315" w:rsidRPr="009921DE">
        <w:rPr>
          <w:rFonts w:asciiTheme="majorHAnsi" w:hAnsiTheme="majorHAnsi" w:cstheme="majorHAnsi"/>
        </w:rPr>
        <w:t>moving</w:t>
      </w:r>
      <w:r w:rsidR="00781E99" w:rsidRPr="009921DE">
        <w:rPr>
          <w:rFonts w:asciiTheme="majorHAnsi" w:hAnsiTheme="majorHAnsi" w:cstheme="majorHAnsi"/>
        </w:rPr>
        <w:t xml:space="preserve"> from </w:t>
      </w:r>
      <w:r w:rsidR="006E112E" w:rsidRPr="009921DE">
        <w:rPr>
          <w:rFonts w:asciiTheme="majorHAnsi" w:hAnsiTheme="majorHAnsi" w:cstheme="majorHAnsi"/>
        </w:rPr>
        <w:t xml:space="preserve">market income (pre-fiscal income </w:t>
      </w:r>
      <w:r w:rsidR="00C474E8" w:rsidRPr="009921DE">
        <w:rPr>
          <w:rFonts w:asciiTheme="majorHAnsi" w:hAnsiTheme="majorHAnsi" w:cstheme="majorHAnsi"/>
        </w:rPr>
        <w:t xml:space="preserve">including private pensions) to </w:t>
      </w:r>
      <w:r w:rsidR="00700C39" w:rsidRPr="009921DE">
        <w:rPr>
          <w:rFonts w:asciiTheme="majorHAnsi" w:hAnsiTheme="majorHAnsi" w:cstheme="majorHAnsi"/>
        </w:rPr>
        <w:t>consumable income (post-fiscal income</w:t>
      </w:r>
      <w:r w:rsidR="00E66732" w:rsidRPr="009921DE">
        <w:rPr>
          <w:rFonts w:asciiTheme="majorHAnsi" w:hAnsiTheme="majorHAnsi" w:cstheme="majorHAnsi"/>
        </w:rPr>
        <w:t>,</w:t>
      </w:r>
      <w:r w:rsidR="00BD4CE9" w:rsidRPr="009921DE">
        <w:rPr>
          <w:rFonts w:asciiTheme="majorHAnsi" w:hAnsiTheme="majorHAnsi" w:cstheme="majorHAnsi"/>
        </w:rPr>
        <w:t xml:space="preserve"> including</w:t>
      </w:r>
      <w:r w:rsidR="00E66732" w:rsidRPr="009921DE">
        <w:rPr>
          <w:rFonts w:asciiTheme="majorHAnsi" w:hAnsiTheme="majorHAnsi" w:cstheme="majorHAnsi"/>
        </w:rPr>
        <w:t xml:space="preserve"> all taxes and transfer</w:t>
      </w:r>
      <w:r w:rsidR="00F3195C">
        <w:rPr>
          <w:rFonts w:asciiTheme="majorHAnsi" w:hAnsiTheme="majorHAnsi" w:cstheme="majorHAnsi"/>
        </w:rPr>
        <w:t>s</w:t>
      </w:r>
      <w:r w:rsidR="00E66732" w:rsidRPr="009921DE">
        <w:rPr>
          <w:rFonts w:asciiTheme="majorHAnsi" w:hAnsiTheme="majorHAnsi" w:cstheme="majorHAnsi"/>
        </w:rPr>
        <w:t xml:space="preserve"> but excluding in-kind benefits)</w:t>
      </w:r>
      <w:r w:rsidR="00002419" w:rsidRPr="009921DE">
        <w:rPr>
          <w:rFonts w:asciiTheme="majorHAnsi" w:hAnsiTheme="majorHAnsi" w:cstheme="majorHAnsi"/>
        </w:rPr>
        <w:t>,</w:t>
      </w:r>
      <w:r w:rsidR="0057348B" w:rsidRPr="009921DE">
        <w:rPr>
          <w:rFonts w:asciiTheme="majorHAnsi" w:hAnsiTheme="majorHAnsi" w:cstheme="majorHAnsi"/>
        </w:rPr>
        <w:t xml:space="preserve"> </w:t>
      </w:r>
      <w:r w:rsidR="001C5C30" w:rsidRPr="009921DE">
        <w:rPr>
          <w:rFonts w:asciiTheme="majorHAnsi" w:hAnsiTheme="majorHAnsi" w:cstheme="majorHAnsi"/>
        </w:rPr>
        <w:t>the poverty ra</w:t>
      </w:r>
      <w:r w:rsidR="00016179" w:rsidRPr="009921DE">
        <w:rPr>
          <w:rFonts w:asciiTheme="majorHAnsi" w:hAnsiTheme="majorHAnsi" w:cstheme="majorHAnsi"/>
        </w:rPr>
        <w:t>te rises</w:t>
      </w:r>
      <w:r w:rsidR="00B9416B" w:rsidRPr="009921DE">
        <w:rPr>
          <w:rFonts w:asciiTheme="majorHAnsi" w:hAnsiTheme="majorHAnsi" w:cstheme="majorHAnsi"/>
        </w:rPr>
        <w:t xml:space="preserve"> </w:t>
      </w:r>
      <w:r w:rsidR="00FC16A8" w:rsidRPr="009921DE">
        <w:rPr>
          <w:rFonts w:asciiTheme="majorHAnsi" w:hAnsiTheme="majorHAnsi" w:cstheme="majorHAnsi"/>
        </w:rPr>
        <w:t>by 1.4 percentage points, from 21.5</w:t>
      </w:r>
      <w:r w:rsidR="00F3195C">
        <w:rPr>
          <w:rFonts w:asciiTheme="majorHAnsi" w:hAnsiTheme="majorHAnsi" w:cstheme="majorHAnsi"/>
        </w:rPr>
        <w:t xml:space="preserve"> percent</w:t>
      </w:r>
      <w:r w:rsidR="006B1A1C" w:rsidRPr="009921DE">
        <w:rPr>
          <w:rFonts w:asciiTheme="majorHAnsi" w:hAnsiTheme="majorHAnsi" w:cstheme="majorHAnsi"/>
        </w:rPr>
        <w:t xml:space="preserve"> </w:t>
      </w:r>
      <w:r w:rsidR="005B7363" w:rsidRPr="009921DE">
        <w:rPr>
          <w:rFonts w:asciiTheme="majorHAnsi" w:hAnsiTheme="majorHAnsi" w:cstheme="majorHAnsi"/>
        </w:rPr>
        <w:t xml:space="preserve">to </w:t>
      </w:r>
      <w:r w:rsidR="00FC16A8" w:rsidRPr="009921DE">
        <w:rPr>
          <w:rFonts w:asciiTheme="majorHAnsi" w:hAnsiTheme="majorHAnsi" w:cstheme="majorHAnsi"/>
        </w:rPr>
        <w:t>22.9</w:t>
      </w:r>
      <w:r w:rsidR="00F3195C">
        <w:rPr>
          <w:rFonts w:asciiTheme="majorHAnsi" w:hAnsiTheme="majorHAnsi" w:cstheme="majorHAnsi"/>
        </w:rPr>
        <w:t xml:space="preserve"> percent</w:t>
      </w:r>
      <w:r w:rsidR="006B1A1C" w:rsidRPr="009921DE">
        <w:rPr>
          <w:rFonts w:asciiTheme="majorHAnsi" w:hAnsiTheme="majorHAnsi" w:cstheme="majorHAnsi"/>
        </w:rPr>
        <w:t xml:space="preserve"> </w:t>
      </w:r>
      <w:r w:rsidR="004F60C7" w:rsidRPr="009921DE">
        <w:rPr>
          <w:rFonts w:asciiTheme="majorHAnsi" w:hAnsiTheme="majorHAnsi" w:cstheme="majorHAnsi"/>
        </w:rPr>
        <w:t>(</w:t>
      </w:r>
      <w:r w:rsidR="00F27857">
        <w:rPr>
          <w:rFonts w:asciiTheme="majorHAnsi" w:hAnsiTheme="majorHAnsi" w:cstheme="majorHAnsi"/>
        </w:rPr>
        <w:fldChar w:fldCharType="begin"/>
      </w:r>
      <w:r w:rsidR="00F27857">
        <w:rPr>
          <w:rFonts w:asciiTheme="majorHAnsi" w:hAnsiTheme="majorHAnsi" w:cstheme="majorHAnsi"/>
        </w:rPr>
        <w:instrText xml:space="preserve"> REF _Ref177038743 \h  \* MERGEFORMAT </w:instrText>
      </w:r>
      <w:r w:rsidR="00F27857">
        <w:rPr>
          <w:rFonts w:asciiTheme="majorHAnsi" w:hAnsiTheme="majorHAnsi" w:cstheme="majorHAnsi"/>
        </w:rPr>
      </w:r>
      <w:r w:rsidR="00F27857">
        <w:rPr>
          <w:rFonts w:asciiTheme="majorHAnsi" w:hAnsiTheme="majorHAnsi" w:cstheme="majorHAnsi"/>
        </w:rPr>
        <w:fldChar w:fldCharType="separate"/>
      </w:r>
      <w:r w:rsidR="00B71781" w:rsidRPr="00B71781">
        <w:rPr>
          <w:rFonts w:asciiTheme="majorHAnsi" w:hAnsiTheme="majorHAnsi" w:cstheme="majorHAnsi"/>
        </w:rPr>
        <w:t>Figure 9</w:t>
      </w:r>
      <w:r w:rsidR="00F27857">
        <w:rPr>
          <w:rFonts w:asciiTheme="majorHAnsi" w:hAnsiTheme="majorHAnsi" w:cstheme="majorHAnsi"/>
        </w:rPr>
        <w:fldChar w:fldCharType="end"/>
      </w:r>
      <w:r w:rsidR="004F60C7" w:rsidRPr="009921DE">
        <w:rPr>
          <w:rFonts w:asciiTheme="majorHAnsi" w:hAnsiTheme="majorHAnsi" w:cstheme="majorHAnsi"/>
        </w:rPr>
        <w:t xml:space="preserve">). </w:t>
      </w:r>
      <w:r w:rsidR="00A958FC" w:rsidRPr="009921DE">
        <w:rPr>
          <w:rFonts w:asciiTheme="majorHAnsi" w:hAnsiTheme="majorHAnsi" w:cstheme="majorHAnsi"/>
        </w:rPr>
        <w:t>Direct taxes</w:t>
      </w:r>
      <w:r w:rsidR="009D5E5D" w:rsidRPr="009921DE">
        <w:rPr>
          <w:rFonts w:asciiTheme="majorHAnsi" w:hAnsiTheme="majorHAnsi" w:cstheme="majorHAnsi"/>
        </w:rPr>
        <w:t xml:space="preserve"> </w:t>
      </w:r>
      <w:r w:rsidR="00BF5330" w:rsidRPr="009921DE">
        <w:rPr>
          <w:rFonts w:asciiTheme="majorHAnsi" w:hAnsiTheme="majorHAnsi" w:cstheme="majorHAnsi"/>
        </w:rPr>
        <w:t>h</w:t>
      </w:r>
      <w:r w:rsidR="009D5E5D" w:rsidRPr="009921DE">
        <w:rPr>
          <w:rFonts w:asciiTheme="majorHAnsi" w:hAnsiTheme="majorHAnsi" w:cstheme="majorHAnsi"/>
        </w:rPr>
        <w:t xml:space="preserve">ave a minimal </w:t>
      </w:r>
      <w:r w:rsidR="00F7412D" w:rsidRPr="009921DE">
        <w:rPr>
          <w:rFonts w:asciiTheme="majorHAnsi" w:hAnsiTheme="majorHAnsi" w:cstheme="majorHAnsi"/>
        </w:rPr>
        <w:t>impact</w:t>
      </w:r>
      <w:r w:rsidR="009D5E5D" w:rsidRPr="009921DE">
        <w:rPr>
          <w:rFonts w:asciiTheme="majorHAnsi" w:hAnsiTheme="majorHAnsi" w:cstheme="majorHAnsi"/>
        </w:rPr>
        <w:t xml:space="preserve"> on poverty</w:t>
      </w:r>
      <w:r w:rsidR="00371FC7" w:rsidRPr="009921DE">
        <w:rPr>
          <w:rFonts w:asciiTheme="majorHAnsi" w:hAnsiTheme="majorHAnsi" w:cstheme="majorHAnsi"/>
        </w:rPr>
        <w:t xml:space="preserve">, as the </w:t>
      </w:r>
      <w:r w:rsidR="00677680" w:rsidRPr="009921DE">
        <w:rPr>
          <w:rFonts w:asciiTheme="majorHAnsi" w:hAnsiTheme="majorHAnsi" w:cstheme="majorHAnsi"/>
        </w:rPr>
        <w:t xml:space="preserve">rates </w:t>
      </w:r>
      <w:r w:rsidR="0048514B" w:rsidRPr="009921DE">
        <w:rPr>
          <w:rFonts w:asciiTheme="majorHAnsi" w:hAnsiTheme="majorHAnsi" w:cstheme="majorHAnsi"/>
        </w:rPr>
        <w:t>based on</w:t>
      </w:r>
      <w:r w:rsidR="0000766F" w:rsidRPr="009921DE">
        <w:rPr>
          <w:rFonts w:asciiTheme="majorHAnsi" w:hAnsiTheme="majorHAnsi" w:cstheme="majorHAnsi"/>
        </w:rPr>
        <w:t xml:space="preserve"> market income and net market income</w:t>
      </w:r>
      <w:r w:rsidR="00A30146" w:rsidRPr="009921DE">
        <w:rPr>
          <w:rFonts w:asciiTheme="majorHAnsi" w:hAnsiTheme="majorHAnsi" w:cstheme="majorHAnsi"/>
        </w:rPr>
        <w:t xml:space="preserve"> are </w:t>
      </w:r>
      <w:r w:rsidR="00DF41CB" w:rsidRPr="009921DE">
        <w:rPr>
          <w:rFonts w:asciiTheme="majorHAnsi" w:hAnsiTheme="majorHAnsi" w:cstheme="majorHAnsi"/>
        </w:rPr>
        <w:t>nearly</w:t>
      </w:r>
      <w:r w:rsidR="00A30146" w:rsidRPr="009921DE">
        <w:rPr>
          <w:rFonts w:asciiTheme="majorHAnsi" w:hAnsiTheme="majorHAnsi" w:cstheme="majorHAnsi"/>
        </w:rPr>
        <w:t xml:space="preserve"> identical</w:t>
      </w:r>
      <w:r w:rsidR="00BF5330" w:rsidRPr="009921DE">
        <w:rPr>
          <w:rFonts w:asciiTheme="majorHAnsi" w:hAnsiTheme="majorHAnsi" w:cstheme="majorHAnsi"/>
        </w:rPr>
        <w:t xml:space="preserve"> (21.5</w:t>
      </w:r>
      <w:r w:rsidR="00DB1F40">
        <w:rPr>
          <w:rFonts w:asciiTheme="majorHAnsi" w:hAnsiTheme="majorHAnsi" w:cstheme="majorHAnsi"/>
        </w:rPr>
        <w:t xml:space="preserve"> percent</w:t>
      </w:r>
      <w:r w:rsidR="00BF5330" w:rsidRPr="009921DE">
        <w:rPr>
          <w:rFonts w:asciiTheme="majorHAnsi" w:hAnsiTheme="majorHAnsi" w:cstheme="majorHAnsi"/>
        </w:rPr>
        <w:t xml:space="preserve"> v</w:t>
      </w:r>
      <w:r w:rsidR="00DB1F40">
        <w:rPr>
          <w:rFonts w:asciiTheme="majorHAnsi" w:hAnsiTheme="majorHAnsi" w:cstheme="majorHAnsi"/>
        </w:rPr>
        <w:t>s.</w:t>
      </w:r>
      <w:r w:rsidR="00BF5330" w:rsidRPr="009921DE">
        <w:rPr>
          <w:rFonts w:asciiTheme="majorHAnsi" w:hAnsiTheme="majorHAnsi" w:cstheme="majorHAnsi"/>
        </w:rPr>
        <w:t xml:space="preserve"> 21.6</w:t>
      </w:r>
      <w:r w:rsidR="00DB1F40">
        <w:rPr>
          <w:rFonts w:asciiTheme="majorHAnsi" w:hAnsiTheme="majorHAnsi" w:cstheme="majorHAnsi"/>
        </w:rPr>
        <w:t xml:space="preserve"> percent</w:t>
      </w:r>
      <w:r w:rsidR="00BF5330" w:rsidRPr="009921DE">
        <w:rPr>
          <w:rFonts w:asciiTheme="majorHAnsi" w:hAnsiTheme="majorHAnsi" w:cstheme="majorHAnsi"/>
        </w:rPr>
        <w:t>, respectively)</w:t>
      </w:r>
      <w:r w:rsidR="00A30146" w:rsidRPr="009921DE">
        <w:rPr>
          <w:rFonts w:asciiTheme="majorHAnsi" w:hAnsiTheme="majorHAnsi" w:cstheme="majorHAnsi"/>
        </w:rPr>
        <w:t xml:space="preserve">. Direct transfers, </w:t>
      </w:r>
      <w:r w:rsidR="004214CE" w:rsidRPr="009921DE">
        <w:rPr>
          <w:rFonts w:asciiTheme="majorHAnsi" w:hAnsiTheme="majorHAnsi" w:cstheme="majorHAnsi"/>
        </w:rPr>
        <w:t>on the other hand</w:t>
      </w:r>
      <w:r w:rsidR="00A30146" w:rsidRPr="009921DE">
        <w:rPr>
          <w:rFonts w:asciiTheme="majorHAnsi" w:hAnsiTheme="majorHAnsi" w:cstheme="majorHAnsi"/>
        </w:rPr>
        <w:t xml:space="preserve">, </w:t>
      </w:r>
      <w:r w:rsidR="003E162A" w:rsidRPr="009921DE">
        <w:rPr>
          <w:rFonts w:asciiTheme="majorHAnsi" w:hAnsiTheme="majorHAnsi" w:cstheme="majorHAnsi"/>
        </w:rPr>
        <w:t>significantly</w:t>
      </w:r>
      <w:r w:rsidR="00933920" w:rsidRPr="009921DE">
        <w:rPr>
          <w:rFonts w:asciiTheme="majorHAnsi" w:hAnsiTheme="majorHAnsi" w:cstheme="majorHAnsi"/>
        </w:rPr>
        <w:t xml:space="preserve"> </w:t>
      </w:r>
      <w:r w:rsidR="00AA38FF" w:rsidRPr="009921DE">
        <w:rPr>
          <w:rFonts w:asciiTheme="majorHAnsi" w:hAnsiTheme="majorHAnsi" w:cstheme="majorHAnsi"/>
        </w:rPr>
        <w:t xml:space="preserve">reduce poverty by </w:t>
      </w:r>
      <w:r w:rsidR="00D47DFE" w:rsidRPr="009921DE">
        <w:rPr>
          <w:rFonts w:asciiTheme="majorHAnsi" w:hAnsiTheme="majorHAnsi" w:cstheme="majorHAnsi"/>
        </w:rPr>
        <w:t>2.3</w:t>
      </w:r>
      <w:r w:rsidR="005A4524" w:rsidRPr="009921DE">
        <w:rPr>
          <w:rFonts w:asciiTheme="majorHAnsi" w:hAnsiTheme="majorHAnsi" w:cstheme="majorHAnsi"/>
        </w:rPr>
        <w:t xml:space="preserve"> percentage points</w:t>
      </w:r>
      <w:r w:rsidR="006B1A1C" w:rsidRPr="009921DE">
        <w:rPr>
          <w:rFonts w:asciiTheme="majorHAnsi" w:hAnsiTheme="majorHAnsi" w:cstheme="majorHAnsi"/>
        </w:rPr>
        <w:t xml:space="preserve">, </w:t>
      </w:r>
      <w:r w:rsidR="005F11C7" w:rsidRPr="009921DE">
        <w:rPr>
          <w:rFonts w:asciiTheme="majorHAnsi" w:hAnsiTheme="majorHAnsi" w:cstheme="majorHAnsi"/>
        </w:rPr>
        <w:t xml:space="preserve">lowering it </w:t>
      </w:r>
      <w:r w:rsidR="006B1A1C" w:rsidRPr="009921DE">
        <w:rPr>
          <w:rFonts w:asciiTheme="majorHAnsi" w:hAnsiTheme="majorHAnsi" w:cstheme="majorHAnsi"/>
        </w:rPr>
        <w:t>from 21.6</w:t>
      </w:r>
      <w:r w:rsidR="00DB1F40">
        <w:rPr>
          <w:rFonts w:asciiTheme="majorHAnsi" w:hAnsiTheme="majorHAnsi" w:cstheme="majorHAnsi"/>
        </w:rPr>
        <w:t xml:space="preserve"> percent</w:t>
      </w:r>
      <w:r w:rsidR="0000766F" w:rsidRPr="009921DE">
        <w:rPr>
          <w:rFonts w:asciiTheme="majorHAnsi" w:hAnsiTheme="majorHAnsi" w:cstheme="majorHAnsi"/>
        </w:rPr>
        <w:t xml:space="preserve"> </w:t>
      </w:r>
      <w:r w:rsidR="006B1A1C" w:rsidRPr="009921DE">
        <w:rPr>
          <w:rFonts w:asciiTheme="majorHAnsi" w:hAnsiTheme="majorHAnsi" w:cstheme="majorHAnsi"/>
        </w:rPr>
        <w:t>to 19.3</w:t>
      </w:r>
      <w:r w:rsidR="00DB1F40">
        <w:rPr>
          <w:rFonts w:asciiTheme="majorHAnsi" w:hAnsiTheme="majorHAnsi" w:cstheme="majorHAnsi"/>
        </w:rPr>
        <w:t xml:space="preserve"> percent</w:t>
      </w:r>
      <w:r w:rsidR="005F11C7" w:rsidRPr="009921DE">
        <w:rPr>
          <w:rFonts w:asciiTheme="majorHAnsi" w:hAnsiTheme="majorHAnsi" w:cstheme="majorHAnsi"/>
        </w:rPr>
        <w:t xml:space="preserve"> </w:t>
      </w:r>
      <w:r w:rsidR="0019070F" w:rsidRPr="009921DE">
        <w:rPr>
          <w:rFonts w:asciiTheme="majorHAnsi" w:hAnsiTheme="majorHAnsi" w:cstheme="majorHAnsi"/>
        </w:rPr>
        <w:t xml:space="preserve">when </w:t>
      </w:r>
      <w:r w:rsidR="004214CE" w:rsidRPr="009921DE">
        <w:rPr>
          <w:rFonts w:asciiTheme="majorHAnsi" w:hAnsiTheme="majorHAnsi" w:cstheme="majorHAnsi"/>
        </w:rPr>
        <w:t xml:space="preserve">going from net market income to disposable income. Nevertheless, </w:t>
      </w:r>
      <w:r w:rsidR="00A22B36" w:rsidRPr="009921DE">
        <w:rPr>
          <w:rFonts w:asciiTheme="majorHAnsi" w:hAnsiTheme="majorHAnsi" w:cstheme="majorHAnsi"/>
        </w:rPr>
        <w:t xml:space="preserve">this positive effect </w:t>
      </w:r>
      <w:r w:rsidR="00084281" w:rsidRPr="009921DE">
        <w:rPr>
          <w:rFonts w:asciiTheme="majorHAnsi" w:hAnsiTheme="majorHAnsi" w:cstheme="majorHAnsi"/>
        </w:rPr>
        <w:t>o</w:t>
      </w:r>
      <w:r w:rsidR="00C2254B" w:rsidRPr="009921DE">
        <w:rPr>
          <w:rFonts w:asciiTheme="majorHAnsi" w:hAnsiTheme="majorHAnsi" w:cstheme="majorHAnsi"/>
        </w:rPr>
        <w:t>n</w:t>
      </w:r>
      <w:r w:rsidR="00084281" w:rsidRPr="009921DE">
        <w:rPr>
          <w:rFonts w:asciiTheme="majorHAnsi" w:hAnsiTheme="majorHAnsi" w:cstheme="majorHAnsi"/>
        </w:rPr>
        <w:t xml:space="preserve"> poverty reduction </w:t>
      </w:r>
      <w:r w:rsidR="00535355" w:rsidRPr="009921DE">
        <w:rPr>
          <w:rFonts w:asciiTheme="majorHAnsi" w:hAnsiTheme="majorHAnsi" w:cstheme="majorHAnsi"/>
        </w:rPr>
        <w:t xml:space="preserve">is </w:t>
      </w:r>
      <w:r w:rsidR="00C43E43" w:rsidRPr="009921DE">
        <w:rPr>
          <w:rFonts w:asciiTheme="majorHAnsi" w:hAnsiTheme="majorHAnsi" w:cstheme="majorHAnsi"/>
        </w:rPr>
        <w:t xml:space="preserve">more than offset by </w:t>
      </w:r>
      <w:r w:rsidR="00084281" w:rsidRPr="009921DE">
        <w:rPr>
          <w:rFonts w:asciiTheme="majorHAnsi" w:hAnsiTheme="majorHAnsi" w:cstheme="majorHAnsi"/>
        </w:rPr>
        <w:t>indirect taxes</w:t>
      </w:r>
      <w:r w:rsidR="00183F5C" w:rsidRPr="009921DE">
        <w:rPr>
          <w:rFonts w:asciiTheme="majorHAnsi" w:hAnsiTheme="majorHAnsi" w:cstheme="majorHAnsi"/>
        </w:rPr>
        <w:t xml:space="preserve">. </w:t>
      </w:r>
      <w:r w:rsidR="00580BCE" w:rsidRPr="009921DE">
        <w:rPr>
          <w:rFonts w:asciiTheme="majorHAnsi" w:hAnsiTheme="majorHAnsi" w:cstheme="majorHAnsi"/>
        </w:rPr>
        <w:t>When accounting for</w:t>
      </w:r>
      <w:r w:rsidR="009028CF" w:rsidRPr="009921DE">
        <w:rPr>
          <w:rFonts w:asciiTheme="majorHAnsi" w:hAnsiTheme="majorHAnsi" w:cstheme="majorHAnsi"/>
        </w:rPr>
        <w:t xml:space="preserve"> both</w:t>
      </w:r>
      <w:r w:rsidR="00580BCE" w:rsidRPr="009921DE">
        <w:rPr>
          <w:rFonts w:asciiTheme="majorHAnsi" w:hAnsiTheme="majorHAnsi" w:cstheme="majorHAnsi"/>
        </w:rPr>
        <w:t xml:space="preserve"> the direct and indirect effects of </w:t>
      </w:r>
      <w:r w:rsidR="001E7863" w:rsidRPr="009921DE">
        <w:rPr>
          <w:rFonts w:asciiTheme="majorHAnsi" w:hAnsiTheme="majorHAnsi" w:cstheme="majorHAnsi"/>
        </w:rPr>
        <w:t xml:space="preserve">indirect taxes, </w:t>
      </w:r>
      <w:r w:rsidR="00371175" w:rsidRPr="009921DE">
        <w:rPr>
          <w:rFonts w:asciiTheme="majorHAnsi" w:hAnsiTheme="majorHAnsi" w:cstheme="majorHAnsi"/>
        </w:rPr>
        <w:t xml:space="preserve">the poverty rate </w:t>
      </w:r>
      <w:r w:rsidR="009E0D61" w:rsidRPr="009921DE">
        <w:rPr>
          <w:rFonts w:asciiTheme="majorHAnsi" w:hAnsiTheme="majorHAnsi" w:cstheme="majorHAnsi"/>
        </w:rPr>
        <w:t>using consumable income</w:t>
      </w:r>
      <w:r w:rsidR="00B5764C" w:rsidRPr="009921DE">
        <w:rPr>
          <w:rFonts w:asciiTheme="majorHAnsi" w:hAnsiTheme="majorHAnsi" w:cstheme="majorHAnsi"/>
        </w:rPr>
        <w:t xml:space="preserve"> </w:t>
      </w:r>
      <w:r w:rsidR="000A58F2" w:rsidRPr="009921DE">
        <w:rPr>
          <w:rFonts w:asciiTheme="majorHAnsi" w:hAnsiTheme="majorHAnsi" w:cstheme="majorHAnsi"/>
        </w:rPr>
        <w:t>increases to</w:t>
      </w:r>
      <w:r w:rsidR="00B5764C" w:rsidRPr="009921DE">
        <w:rPr>
          <w:rFonts w:asciiTheme="majorHAnsi" w:hAnsiTheme="majorHAnsi" w:cstheme="majorHAnsi"/>
        </w:rPr>
        <w:t xml:space="preserve"> </w:t>
      </w:r>
      <w:r w:rsidR="00717974" w:rsidRPr="009921DE">
        <w:rPr>
          <w:rFonts w:asciiTheme="majorHAnsi" w:hAnsiTheme="majorHAnsi" w:cstheme="majorHAnsi"/>
        </w:rPr>
        <w:t>22.9</w:t>
      </w:r>
      <w:r w:rsidR="005B3EB3">
        <w:rPr>
          <w:rFonts w:asciiTheme="majorHAnsi" w:hAnsiTheme="majorHAnsi" w:cstheme="majorHAnsi"/>
        </w:rPr>
        <w:t xml:space="preserve"> percent</w:t>
      </w:r>
      <w:r w:rsidR="00C635C7" w:rsidRPr="009921DE">
        <w:rPr>
          <w:rFonts w:asciiTheme="majorHAnsi" w:hAnsiTheme="majorHAnsi" w:cstheme="majorHAnsi"/>
        </w:rPr>
        <w:t>, a</w:t>
      </w:r>
      <w:r w:rsidR="000A58F2" w:rsidRPr="009921DE">
        <w:rPr>
          <w:rFonts w:asciiTheme="majorHAnsi" w:hAnsiTheme="majorHAnsi" w:cstheme="majorHAnsi"/>
        </w:rPr>
        <w:t xml:space="preserve"> rise </w:t>
      </w:r>
      <w:r w:rsidR="00C635C7" w:rsidRPr="009921DE">
        <w:rPr>
          <w:rFonts w:asciiTheme="majorHAnsi" w:hAnsiTheme="majorHAnsi" w:cstheme="majorHAnsi"/>
        </w:rPr>
        <w:t xml:space="preserve">of </w:t>
      </w:r>
      <w:r w:rsidR="0036595A" w:rsidRPr="009921DE">
        <w:rPr>
          <w:rFonts w:asciiTheme="majorHAnsi" w:hAnsiTheme="majorHAnsi" w:cstheme="majorHAnsi"/>
        </w:rPr>
        <w:t>3.</w:t>
      </w:r>
      <w:r w:rsidR="00EB7ECB" w:rsidRPr="009921DE">
        <w:rPr>
          <w:rFonts w:asciiTheme="majorHAnsi" w:hAnsiTheme="majorHAnsi" w:cstheme="majorHAnsi"/>
        </w:rPr>
        <w:t>6 percentage points</w:t>
      </w:r>
      <w:r w:rsidR="00C635C7" w:rsidRPr="009921DE">
        <w:rPr>
          <w:rFonts w:asciiTheme="majorHAnsi" w:hAnsiTheme="majorHAnsi" w:cstheme="majorHAnsi"/>
        </w:rPr>
        <w:t xml:space="preserve"> </w:t>
      </w:r>
      <w:r w:rsidR="00AE53A1" w:rsidRPr="009921DE">
        <w:rPr>
          <w:rFonts w:asciiTheme="majorHAnsi" w:hAnsiTheme="majorHAnsi" w:cstheme="majorHAnsi"/>
        </w:rPr>
        <w:t xml:space="preserve">compared to the rate based on </w:t>
      </w:r>
      <w:r w:rsidR="00364FB6" w:rsidRPr="009921DE">
        <w:rPr>
          <w:rFonts w:asciiTheme="majorHAnsi" w:hAnsiTheme="majorHAnsi" w:cstheme="majorHAnsi"/>
        </w:rPr>
        <w:t>disposable income.</w:t>
      </w:r>
    </w:p>
    <w:p w14:paraId="34B46CC9" w14:textId="77777777" w:rsidR="00F04A23" w:rsidRPr="009921DE" w:rsidRDefault="00F04A23" w:rsidP="005B3EB3">
      <w:pPr>
        <w:spacing w:after="0"/>
        <w:jc w:val="both"/>
        <w:rPr>
          <w:rFonts w:asciiTheme="majorHAnsi" w:hAnsiTheme="majorHAnsi" w:cstheme="majorHAnsi"/>
        </w:rPr>
      </w:pPr>
    </w:p>
    <w:tbl>
      <w:tblPr>
        <w:tblStyle w:val="TableGrid"/>
        <w:tblW w:w="9715" w:type="dxa"/>
        <w:jc w:val="cente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5018"/>
        <w:gridCol w:w="5027"/>
      </w:tblGrid>
      <w:tr w:rsidR="004036BE" w:rsidRPr="00796ADB" w14:paraId="067486E2" w14:textId="77777777" w:rsidTr="007D6783">
        <w:trPr>
          <w:trHeight w:val="497"/>
          <w:jc w:val="center"/>
        </w:trPr>
        <w:tc>
          <w:tcPr>
            <w:tcW w:w="5018" w:type="dxa"/>
          </w:tcPr>
          <w:p w14:paraId="48FD2CDC" w14:textId="0B2D0D67" w:rsidR="004036BE" w:rsidRDefault="004036BE" w:rsidP="005B3EB3">
            <w:pPr>
              <w:pStyle w:val="ListParagraph"/>
              <w:ind w:left="360"/>
              <w:jc w:val="center"/>
              <w:textAlignment w:val="baseline"/>
              <w:rPr>
                <w:rFonts w:asciiTheme="majorHAnsi" w:hAnsiTheme="majorHAnsi" w:cstheme="majorHAnsi"/>
              </w:rPr>
            </w:pPr>
            <w:bookmarkStart w:id="10" w:name="_Ref177038743"/>
            <w:r w:rsidRPr="00AD4E23">
              <w:rPr>
                <w:rFonts w:asciiTheme="majorHAnsi" w:hAnsiTheme="majorHAnsi" w:cstheme="majorHAnsi"/>
                <w:sz w:val="20"/>
                <w:szCs w:val="20"/>
              </w:rPr>
              <w:t xml:space="preserve">Figure </w:t>
            </w:r>
            <w:r w:rsidRPr="00AD4E23">
              <w:rPr>
                <w:rFonts w:asciiTheme="majorHAnsi" w:hAnsiTheme="majorHAnsi" w:cstheme="majorHAnsi"/>
                <w:sz w:val="20"/>
                <w:szCs w:val="20"/>
              </w:rPr>
              <w:fldChar w:fldCharType="begin"/>
            </w:r>
            <w:r w:rsidRPr="00AD4E23">
              <w:rPr>
                <w:rFonts w:asciiTheme="majorHAnsi" w:hAnsiTheme="majorHAnsi" w:cstheme="majorHAnsi"/>
                <w:sz w:val="20"/>
                <w:szCs w:val="20"/>
              </w:rPr>
              <w:instrText xml:space="preserve"> SEQ Figure \* ARABIC </w:instrText>
            </w:r>
            <w:r w:rsidRPr="00AD4E23">
              <w:rPr>
                <w:rFonts w:asciiTheme="majorHAnsi" w:hAnsiTheme="majorHAnsi" w:cstheme="majorHAnsi"/>
                <w:sz w:val="20"/>
                <w:szCs w:val="20"/>
              </w:rPr>
              <w:fldChar w:fldCharType="separate"/>
            </w:r>
            <w:r w:rsidR="00B71781">
              <w:rPr>
                <w:rFonts w:asciiTheme="majorHAnsi" w:hAnsiTheme="majorHAnsi" w:cstheme="majorHAnsi"/>
                <w:noProof/>
                <w:sz w:val="20"/>
                <w:szCs w:val="20"/>
              </w:rPr>
              <w:t>9</w:t>
            </w:r>
            <w:r w:rsidRPr="00AD4E23">
              <w:rPr>
                <w:rFonts w:asciiTheme="majorHAnsi" w:hAnsiTheme="majorHAnsi" w:cstheme="majorHAnsi"/>
                <w:sz w:val="20"/>
                <w:szCs w:val="20"/>
              </w:rPr>
              <w:fldChar w:fldCharType="end"/>
            </w:r>
            <w:bookmarkEnd w:id="10"/>
            <w:r w:rsidRPr="00AD4E23">
              <w:rPr>
                <w:rFonts w:asciiTheme="majorHAnsi" w:hAnsiTheme="majorHAnsi" w:cstheme="majorHAnsi"/>
                <w:sz w:val="20"/>
                <w:szCs w:val="20"/>
              </w:rPr>
              <w:t xml:space="preserve">. </w:t>
            </w:r>
            <w:r w:rsidRPr="00BD3182">
              <w:rPr>
                <w:rFonts w:asciiTheme="majorHAnsi" w:hAnsiTheme="majorHAnsi" w:cstheme="majorHAnsi"/>
              </w:rPr>
              <w:t>Pre-fiscal and post-fiscal poverty rates</w:t>
            </w:r>
          </w:p>
          <w:p w14:paraId="10DA0618" w14:textId="33AECFB6" w:rsidR="004036BE" w:rsidRPr="00AD4E23" w:rsidRDefault="004036BE" w:rsidP="005B3EB3">
            <w:pPr>
              <w:jc w:val="center"/>
              <w:rPr>
                <w:rFonts w:asciiTheme="majorHAnsi" w:hAnsiTheme="majorHAnsi" w:cstheme="majorHAnsi"/>
                <w:sz w:val="20"/>
                <w:szCs w:val="20"/>
              </w:rPr>
            </w:pPr>
            <w:r w:rsidRPr="005B3202">
              <w:rPr>
                <w:rFonts w:asciiTheme="majorHAnsi" w:hAnsiTheme="majorHAnsi" w:cstheme="majorHAnsi"/>
                <w:i/>
                <w:iCs/>
                <w:sz w:val="18"/>
                <w:szCs w:val="18"/>
              </w:rPr>
              <w:t>(Headcount poverty rate using national poverty line)</w:t>
            </w:r>
          </w:p>
        </w:tc>
        <w:tc>
          <w:tcPr>
            <w:tcW w:w="4697" w:type="dxa"/>
          </w:tcPr>
          <w:p w14:paraId="053F214E" w14:textId="389AF4EE" w:rsidR="004036BE" w:rsidRPr="004036BE" w:rsidRDefault="004036BE" w:rsidP="005B3EB3">
            <w:pPr>
              <w:jc w:val="center"/>
              <w:rPr>
                <w:rFonts w:asciiTheme="majorHAnsi" w:hAnsiTheme="majorHAnsi" w:cstheme="majorHAnsi"/>
                <w:sz w:val="20"/>
                <w:szCs w:val="20"/>
              </w:rPr>
            </w:pPr>
            <w:bookmarkStart w:id="11" w:name="_Ref177039062"/>
            <w:r w:rsidRPr="00AD4E23">
              <w:rPr>
                <w:rFonts w:asciiTheme="majorHAnsi" w:hAnsiTheme="majorHAnsi" w:cstheme="majorHAnsi"/>
                <w:sz w:val="20"/>
                <w:szCs w:val="20"/>
              </w:rPr>
              <w:t xml:space="preserve">Figure </w:t>
            </w:r>
            <w:r w:rsidRPr="00AD4E23">
              <w:rPr>
                <w:rFonts w:asciiTheme="majorHAnsi" w:hAnsiTheme="majorHAnsi" w:cstheme="majorHAnsi"/>
                <w:sz w:val="20"/>
                <w:szCs w:val="20"/>
              </w:rPr>
              <w:fldChar w:fldCharType="begin"/>
            </w:r>
            <w:r w:rsidRPr="00AD4E23">
              <w:rPr>
                <w:rFonts w:asciiTheme="majorHAnsi" w:hAnsiTheme="majorHAnsi" w:cstheme="majorHAnsi"/>
                <w:sz w:val="20"/>
                <w:szCs w:val="20"/>
              </w:rPr>
              <w:instrText xml:space="preserve"> SEQ Figure \* ARABIC </w:instrText>
            </w:r>
            <w:r w:rsidRPr="00AD4E23">
              <w:rPr>
                <w:rFonts w:asciiTheme="majorHAnsi" w:hAnsiTheme="majorHAnsi" w:cstheme="majorHAnsi"/>
                <w:sz w:val="20"/>
                <w:szCs w:val="20"/>
              </w:rPr>
              <w:fldChar w:fldCharType="separate"/>
            </w:r>
            <w:r w:rsidR="00B71781">
              <w:rPr>
                <w:rFonts w:asciiTheme="majorHAnsi" w:hAnsiTheme="majorHAnsi" w:cstheme="majorHAnsi"/>
                <w:noProof/>
                <w:sz w:val="20"/>
                <w:szCs w:val="20"/>
              </w:rPr>
              <w:t>10</w:t>
            </w:r>
            <w:r w:rsidRPr="00AD4E23">
              <w:rPr>
                <w:rFonts w:asciiTheme="majorHAnsi" w:hAnsiTheme="majorHAnsi" w:cstheme="majorHAnsi"/>
                <w:sz w:val="20"/>
                <w:szCs w:val="20"/>
              </w:rPr>
              <w:fldChar w:fldCharType="end"/>
            </w:r>
            <w:bookmarkEnd w:id="11"/>
            <w:r w:rsidRPr="00AD4E23">
              <w:rPr>
                <w:rFonts w:asciiTheme="majorHAnsi" w:hAnsiTheme="majorHAnsi" w:cstheme="majorHAnsi"/>
                <w:sz w:val="20"/>
                <w:szCs w:val="20"/>
              </w:rPr>
              <w:t xml:space="preserve">. </w:t>
            </w:r>
            <w:r w:rsidRPr="004036BE">
              <w:rPr>
                <w:rFonts w:asciiTheme="majorHAnsi" w:hAnsiTheme="majorHAnsi" w:cstheme="majorHAnsi"/>
                <w:sz w:val="20"/>
                <w:szCs w:val="20"/>
              </w:rPr>
              <w:t>Pre-fiscal and post-fiscal inequality rates</w:t>
            </w:r>
          </w:p>
          <w:p w14:paraId="17287746" w14:textId="61ED702C" w:rsidR="004036BE" w:rsidRPr="00AD4E23" w:rsidRDefault="004036BE" w:rsidP="005B3EB3">
            <w:pPr>
              <w:jc w:val="center"/>
              <w:rPr>
                <w:rFonts w:asciiTheme="majorHAnsi" w:hAnsiTheme="majorHAnsi" w:cstheme="majorHAnsi"/>
                <w:sz w:val="20"/>
                <w:szCs w:val="20"/>
              </w:rPr>
            </w:pPr>
            <w:r w:rsidRPr="004036BE">
              <w:rPr>
                <w:rFonts w:asciiTheme="majorHAnsi" w:hAnsiTheme="majorHAnsi" w:cstheme="majorHAnsi"/>
                <w:sz w:val="20"/>
                <w:szCs w:val="20"/>
              </w:rPr>
              <w:t>(Gini Index)</w:t>
            </w:r>
          </w:p>
        </w:tc>
      </w:tr>
      <w:tr w:rsidR="004036BE" w:rsidRPr="00796ADB" w14:paraId="5E496020" w14:textId="77777777" w:rsidTr="007D6783">
        <w:trPr>
          <w:trHeight w:val="5219"/>
          <w:jc w:val="center"/>
        </w:trPr>
        <w:tc>
          <w:tcPr>
            <w:tcW w:w="5018" w:type="dxa"/>
          </w:tcPr>
          <w:p w14:paraId="3F674665" w14:textId="50AD37D3" w:rsidR="004036BE" w:rsidRPr="00796ADB" w:rsidRDefault="004036BE" w:rsidP="005B3EB3">
            <w:pPr>
              <w:jc w:val="both"/>
              <w:rPr>
                <w:rFonts w:asciiTheme="majorHAnsi" w:hAnsiTheme="majorHAnsi" w:cstheme="majorHAnsi"/>
                <w:sz w:val="20"/>
                <w:szCs w:val="20"/>
              </w:rPr>
            </w:pPr>
            <w:r>
              <w:rPr>
                <w:noProof/>
              </w:rPr>
              <w:drawing>
                <wp:inline distT="0" distB="0" distL="0" distR="0" wp14:anchorId="3A113C4A" wp14:editId="630DCD36">
                  <wp:extent cx="3049270" cy="3165231"/>
                  <wp:effectExtent l="0" t="0" r="0" b="0"/>
                  <wp:docPr id="40" name="Chart 4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697" w:type="dxa"/>
          </w:tcPr>
          <w:p w14:paraId="55BAD39C" w14:textId="77777777" w:rsidR="004036BE" w:rsidRDefault="004036BE" w:rsidP="005B3EB3">
            <w:pPr>
              <w:jc w:val="both"/>
              <w:rPr>
                <w:rFonts w:asciiTheme="majorHAnsi" w:hAnsiTheme="majorHAnsi" w:cstheme="majorHAnsi"/>
                <w:sz w:val="20"/>
                <w:szCs w:val="20"/>
              </w:rPr>
            </w:pPr>
          </w:p>
          <w:p w14:paraId="780476AA" w14:textId="36DCC6F5" w:rsidR="004036BE" w:rsidRPr="00796ADB" w:rsidRDefault="004036BE" w:rsidP="005B3EB3">
            <w:pPr>
              <w:jc w:val="both"/>
              <w:rPr>
                <w:rFonts w:asciiTheme="majorHAnsi" w:hAnsiTheme="majorHAnsi" w:cstheme="majorHAnsi"/>
                <w:sz w:val="20"/>
                <w:szCs w:val="20"/>
              </w:rPr>
            </w:pPr>
            <w:r>
              <w:rPr>
                <w:noProof/>
              </w:rPr>
              <w:drawing>
                <wp:inline distT="0" distB="0" distL="0" distR="0" wp14:anchorId="4EC97F5E" wp14:editId="645E4187">
                  <wp:extent cx="3054985" cy="3228536"/>
                  <wp:effectExtent l="0" t="0" r="0" b="0"/>
                  <wp:docPr id="9" name="Chart 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4036BE" w:rsidRPr="00796ADB" w14:paraId="1699888D" w14:textId="77777777" w:rsidTr="007D6783">
        <w:trPr>
          <w:trHeight w:val="483"/>
          <w:jc w:val="center"/>
        </w:trPr>
        <w:tc>
          <w:tcPr>
            <w:tcW w:w="5018" w:type="dxa"/>
          </w:tcPr>
          <w:p w14:paraId="65E0511A" w14:textId="74E13094" w:rsidR="004036BE" w:rsidRPr="0035551A" w:rsidRDefault="004036BE" w:rsidP="005B3EB3">
            <w:pPr>
              <w:jc w:val="both"/>
              <w:rPr>
                <w:rFonts w:asciiTheme="majorHAnsi" w:hAnsiTheme="majorHAnsi" w:cstheme="majorHAnsi"/>
                <w:sz w:val="18"/>
                <w:szCs w:val="18"/>
              </w:rPr>
            </w:pPr>
            <w:r w:rsidRPr="0046569B">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c>
          <w:tcPr>
            <w:tcW w:w="4697" w:type="dxa"/>
          </w:tcPr>
          <w:p w14:paraId="78D4CBC0" w14:textId="2A54DAA8" w:rsidR="004036BE" w:rsidRPr="0035551A" w:rsidRDefault="004036BE" w:rsidP="005B3EB3">
            <w:pPr>
              <w:keepNext/>
              <w:jc w:val="both"/>
              <w:rPr>
                <w:rFonts w:asciiTheme="majorHAnsi" w:hAnsiTheme="majorHAnsi" w:cstheme="majorHAnsi"/>
                <w:sz w:val="18"/>
                <w:szCs w:val="18"/>
              </w:rPr>
            </w:pPr>
            <w:r w:rsidRPr="0046569B">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03F753C1" w14:textId="77777777" w:rsidR="004036BE" w:rsidRPr="004036BE" w:rsidRDefault="004036BE" w:rsidP="005B3EB3">
      <w:pPr>
        <w:spacing w:after="0"/>
        <w:jc w:val="both"/>
        <w:rPr>
          <w:rFonts w:asciiTheme="majorHAnsi" w:hAnsiTheme="majorHAnsi" w:cstheme="majorHAnsi"/>
          <w:b/>
          <w:bCs/>
        </w:rPr>
      </w:pPr>
    </w:p>
    <w:p w14:paraId="6DA41F30" w14:textId="6BD0E9DF" w:rsidR="004F60C7" w:rsidRDefault="00215D2B" w:rsidP="00877616">
      <w:pPr>
        <w:spacing w:after="120"/>
        <w:jc w:val="both"/>
        <w:rPr>
          <w:rFonts w:asciiTheme="majorHAnsi" w:hAnsiTheme="majorHAnsi" w:cstheme="majorHAnsi"/>
        </w:rPr>
      </w:pPr>
      <w:r w:rsidRPr="005B3EB3">
        <w:rPr>
          <w:rFonts w:asciiTheme="majorHAnsi" w:hAnsiTheme="majorHAnsi" w:cstheme="majorHAnsi"/>
        </w:rPr>
        <w:t xml:space="preserve">However, fiscal policy </w:t>
      </w:r>
      <w:r w:rsidR="003F264E" w:rsidRPr="005B3EB3">
        <w:rPr>
          <w:rFonts w:asciiTheme="majorHAnsi" w:hAnsiTheme="majorHAnsi" w:cstheme="majorHAnsi"/>
        </w:rPr>
        <w:t>moderately</w:t>
      </w:r>
      <w:r w:rsidR="00CB2890" w:rsidRPr="005B3EB3">
        <w:rPr>
          <w:rFonts w:asciiTheme="majorHAnsi" w:hAnsiTheme="majorHAnsi" w:cstheme="majorHAnsi"/>
        </w:rPr>
        <w:t xml:space="preserve"> </w:t>
      </w:r>
      <w:r w:rsidR="003123D1" w:rsidRPr="005B3EB3">
        <w:rPr>
          <w:rFonts w:asciiTheme="majorHAnsi" w:hAnsiTheme="majorHAnsi" w:cstheme="majorHAnsi"/>
        </w:rPr>
        <w:t>contribute</w:t>
      </w:r>
      <w:r w:rsidR="005B3EB3">
        <w:rPr>
          <w:rFonts w:asciiTheme="majorHAnsi" w:hAnsiTheme="majorHAnsi" w:cstheme="majorHAnsi"/>
        </w:rPr>
        <w:t>s</w:t>
      </w:r>
      <w:r w:rsidR="003123D1" w:rsidRPr="005B3EB3">
        <w:rPr>
          <w:rFonts w:asciiTheme="majorHAnsi" w:hAnsiTheme="majorHAnsi" w:cstheme="majorHAnsi"/>
        </w:rPr>
        <w:t xml:space="preserve"> to reduc</w:t>
      </w:r>
      <w:r w:rsidR="00CD2677" w:rsidRPr="005B3EB3">
        <w:rPr>
          <w:rFonts w:asciiTheme="majorHAnsi" w:hAnsiTheme="majorHAnsi" w:cstheme="majorHAnsi"/>
        </w:rPr>
        <w:t xml:space="preserve">ing </w:t>
      </w:r>
      <w:r w:rsidR="003123D1" w:rsidRPr="005B3EB3">
        <w:rPr>
          <w:rFonts w:asciiTheme="majorHAnsi" w:hAnsiTheme="majorHAnsi" w:cstheme="majorHAnsi"/>
        </w:rPr>
        <w:t>inequality.</w:t>
      </w:r>
      <w:r w:rsidR="009508D3" w:rsidRPr="005B3EB3">
        <w:rPr>
          <w:rFonts w:asciiTheme="majorHAnsi" w:hAnsiTheme="majorHAnsi" w:cstheme="majorHAnsi"/>
        </w:rPr>
        <w:t xml:space="preserve"> </w:t>
      </w:r>
      <w:r w:rsidR="00040379" w:rsidRPr="005B3EB3">
        <w:rPr>
          <w:rFonts w:asciiTheme="majorHAnsi" w:hAnsiTheme="majorHAnsi" w:cstheme="majorHAnsi"/>
        </w:rPr>
        <w:t xml:space="preserve">The Gini coefficient </w:t>
      </w:r>
      <w:r w:rsidR="00CD2677" w:rsidRPr="005B3EB3">
        <w:rPr>
          <w:rFonts w:asciiTheme="majorHAnsi" w:hAnsiTheme="majorHAnsi" w:cstheme="majorHAnsi"/>
        </w:rPr>
        <w:t>decrease</w:t>
      </w:r>
      <w:r w:rsidR="001E15AB">
        <w:rPr>
          <w:rFonts w:asciiTheme="majorHAnsi" w:hAnsiTheme="majorHAnsi" w:cstheme="majorHAnsi"/>
        </w:rPr>
        <w:t>s</w:t>
      </w:r>
      <w:r w:rsidR="000F2116" w:rsidRPr="005B3EB3">
        <w:rPr>
          <w:rFonts w:asciiTheme="majorHAnsi" w:hAnsiTheme="majorHAnsi" w:cstheme="majorHAnsi"/>
        </w:rPr>
        <w:t xml:space="preserve"> </w:t>
      </w:r>
      <w:r w:rsidR="006804D7" w:rsidRPr="005B3EB3">
        <w:rPr>
          <w:rFonts w:asciiTheme="majorHAnsi" w:hAnsiTheme="majorHAnsi" w:cstheme="majorHAnsi"/>
        </w:rPr>
        <w:t>from</w:t>
      </w:r>
      <w:r w:rsidR="00E7359B" w:rsidRPr="005B3EB3">
        <w:rPr>
          <w:rFonts w:asciiTheme="majorHAnsi" w:hAnsiTheme="majorHAnsi" w:cstheme="majorHAnsi"/>
        </w:rPr>
        <w:t xml:space="preserve"> 43.8 </w:t>
      </w:r>
      <w:r w:rsidR="00BB24C4" w:rsidRPr="005B3EB3">
        <w:rPr>
          <w:rFonts w:asciiTheme="majorHAnsi" w:hAnsiTheme="majorHAnsi" w:cstheme="majorHAnsi"/>
        </w:rPr>
        <w:t>for</w:t>
      </w:r>
      <w:r w:rsidR="005B11D8" w:rsidRPr="005B3EB3">
        <w:rPr>
          <w:rFonts w:asciiTheme="majorHAnsi" w:hAnsiTheme="majorHAnsi" w:cstheme="majorHAnsi"/>
        </w:rPr>
        <w:t xml:space="preserve"> market income to </w:t>
      </w:r>
      <w:r w:rsidR="00BB24C4" w:rsidRPr="005B3EB3">
        <w:rPr>
          <w:rFonts w:asciiTheme="majorHAnsi" w:hAnsiTheme="majorHAnsi" w:cstheme="majorHAnsi"/>
        </w:rPr>
        <w:t>42.6 for consumable income</w:t>
      </w:r>
      <w:r w:rsidR="00FC59C5" w:rsidRPr="005B3EB3">
        <w:rPr>
          <w:rFonts w:asciiTheme="majorHAnsi" w:hAnsiTheme="majorHAnsi" w:cstheme="majorHAnsi"/>
        </w:rPr>
        <w:t xml:space="preserve">, a reduction of </w:t>
      </w:r>
      <w:r w:rsidR="001F5BE1" w:rsidRPr="005B3EB3">
        <w:rPr>
          <w:rFonts w:asciiTheme="majorHAnsi" w:hAnsiTheme="majorHAnsi" w:cstheme="majorHAnsi"/>
        </w:rPr>
        <w:t>1.2 Gini points (</w:t>
      </w:r>
      <w:r w:rsidR="001E15AB">
        <w:rPr>
          <w:rFonts w:asciiTheme="majorHAnsi" w:hAnsiTheme="majorHAnsi" w:cstheme="majorHAnsi"/>
        </w:rPr>
        <w:fldChar w:fldCharType="begin"/>
      </w:r>
      <w:r w:rsidR="001E15AB">
        <w:rPr>
          <w:rFonts w:asciiTheme="majorHAnsi" w:hAnsiTheme="majorHAnsi" w:cstheme="majorHAnsi"/>
        </w:rPr>
        <w:instrText xml:space="preserve"> REF _Ref177039062 \h  \* MERGEFORMAT </w:instrText>
      </w:r>
      <w:r w:rsidR="001E15AB">
        <w:rPr>
          <w:rFonts w:asciiTheme="majorHAnsi" w:hAnsiTheme="majorHAnsi" w:cstheme="majorHAnsi"/>
        </w:rPr>
      </w:r>
      <w:r w:rsidR="001E15AB">
        <w:rPr>
          <w:rFonts w:asciiTheme="majorHAnsi" w:hAnsiTheme="majorHAnsi" w:cstheme="majorHAnsi"/>
        </w:rPr>
        <w:fldChar w:fldCharType="separate"/>
      </w:r>
      <w:r w:rsidR="00B71781" w:rsidRPr="00B71781">
        <w:rPr>
          <w:rFonts w:asciiTheme="majorHAnsi" w:hAnsiTheme="majorHAnsi" w:cstheme="majorHAnsi"/>
        </w:rPr>
        <w:t>Figure 10</w:t>
      </w:r>
      <w:r w:rsidR="001E15AB">
        <w:rPr>
          <w:rFonts w:asciiTheme="majorHAnsi" w:hAnsiTheme="majorHAnsi" w:cstheme="majorHAnsi"/>
        </w:rPr>
        <w:fldChar w:fldCharType="end"/>
      </w:r>
      <w:r w:rsidR="001F5BE1" w:rsidRPr="005B3EB3">
        <w:rPr>
          <w:rFonts w:asciiTheme="majorHAnsi" w:hAnsiTheme="majorHAnsi" w:cstheme="majorHAnsi"/>
        </w:rPr>
        <w:t xml:space="preserve">). </w:t>
      </w:r>
      <w:r w:rsidR="00F11E4C" w:rsidRPr="005B3EB3">
        <w:rPr>
          <w:rFonts w:asciiTheme="majorHAnsi" w:hAnsiTheme="majorHAnsi" w:cstheme="majorHAnsi"/>
        </w:rPr>
        <w:t xml:space="preserve">Direct transfers </w:t>
      </w:r>
      <w:r w:rsidR="009C6F9B">
        <w:rPr>
          <w:rFonts w:asciiTheme="majorHAnsi" w:hAnsiTheme="majorHAnsi" w:cstheme="majorHAnsi"/>
        </w:rPr>
        <w:t>a</w:t>
      </w:r>
      <w:r w:rsidR="00F11E4C" w:rsidRPr="005B3EB3">
        <w:rPr>
          <w:rFonts w:asciiTheme="majorHAnsi" w:hAnsiTheme="majorHAnsi" w:cstheme="majorHAnsi"/>
        </w:rPr>
        <w:t xml:space="preserve">re the main driver </w:t>
      </w:r>
      <w:r w:rsidR="00034C4C" w:rsidRPr="005B3EB3">
        <w:rPr>
          <w:rFonts w:asciiTheme="majorHAnsi" w:hAnsiTheme="majorHAnsi" w:cstheme="majorHAnsi"/>
        </w:rPr>
        <w:t>of this</w:t>
      </w:r>
      <w:r w:rsidR="00034C4C">
        <w:rPr>
          <w:rFonts w:asciiTheme="majorHAnsi" w:hAnsiTheme="majorHAnsi" w:cstheme="majorHAnsi"/>
        </w:rPr>
        <w:t xml:space="preserve"> reduction in inequality</w:t>
      </w:r>
      <w:r w:rsidR="00C95569">
        <w:rPr>
          <w:rFonts w:asciiTheme="majorHAnsi" w:hAnsiTheme="majorHAnsi" w:cstheme="majorHAnsi"/>
        </w:rPr>
        <w:t xml:space="preserve">, accounting for </w:t>
      </w:r>
      <w:r w:rsidR="001A15D2">
        <w:rPr>
          <w:rFonts w:asciiTheme="majorHAnsi" w:hAnsiTheme="majorHAnsi" w:cstheme="majorHAnsi"/>
        </w:rPr>
        <w:t>about 1 Gini point</w:t>
      </w:r>
      <w:r w:rsidR="00C95569">
        <w:rPr>
          <w:rFonts w:asciiTheme="majorHAnsi" w:hAnsiTheme="majorHAnsi" w:cstheme="majorHAnsi"/>
        </w:rPr>
        <w:t xml:space="preserve">. Direct taxes, </w:t>
      </w:r>
      <w:r w:rsidR="00EF6ABD">
        <w:rPr>
          <w:rFonts w:asciiTheme="majorHAnsi" w:hAnsiTheme="majorHAnsi" w:cstheme="majorHAnsi"/>
        </w:rPr>
        <w:t xml:space="preserve">which are highly progressive according to the Kakwani index, </w:t>
      </w:r>
      <w:r w:rsidR="002C777F">
        <w:rPr>
          <w:rFonts w:asciiTheme="majorHAnsi" w:hAnsiTheme="majorHAnsi" w:cstheme="majorHAnsi"/>
        </w:rPr>
        <w:t xml:space="preserve">also play an important role, </w:t>
      </w:r>
      <w:r w:rsidR="00115676">
        <w:rPr>
          <w:rFonts w:asciiTheme="majorHAnsi" w:hAnsiTheme="majorHAnsi" w:cstheme="majorHAnsi"/>
        </w:rPr>
        <w:t>contributing to a 0.5</w:t>
      </w:r>
      <w:r w:rsidR="006B1469">
        <w:rPr>
          <w:rFonts w:asciiTheme="majorHAnsi" w:hAnsiTheme="majorHAnsi" w:cstheme="majorHAnsi"/>
        </w:rPr>
        <w:t>-point</w:t>
      </w:r>
      <w:r w:rsidR="00CE6FCF">
        <w:rPr>
          <w:rFonts w:asciiTheme="majorHAnsi" w:hAnsiTheme="majorHAnsi" w:cstheme="majorHAnsi"/>
        </w:rPr>
        <w:t xml:space="preserve"> reduction</w:t>
      </w:r>
      <w:r w:rsidR="006B1469">
        <w:rPr>
          <w:rFonts w:asciiTheme="majorHAnsi" w:hAnsiTheme="majorHAnsi" w:cstheme="majorHAnsi"/>
        </w:rPr>
        <w:t xml:space="preserve"> of the Gini index</w:t>
      </w:r>
      <w:r w:rsidR="00CE6FCF">
        <w:rPr>
          <w:rFonts w:asciiTheme="majorHAnsi" w:hAnsiTheme="majorHAnsi" w:cstheme="majorHAnsi"/>
        </w:rPr>
        <w:t xml:space="preserve">. </w:t>
      </w:r>
      <w:r w:rsidR="00F81E3C">
        <w:rPr>
          <w:rFonts w:asciiTheme="majorHAnsi" w:hAnsiTheme="majorHAnsi" w:cstheme="majorHAnsi"/>
        </w:rPr>
        <w:t>In contrast, i</w:t>
      </w:r>
      <w:r w:rsidR="00FE414D">
        <w:rPr>
          <w:rFonts w:asciiTheme="majorHAnsi" w:hAnsiTheme="majorHAnsi" w:cstheme="majorHAnsi"/>
        </w:rPr>
        <w:t>ndirect taxes</w:t>
      </w:r>
      <w:r w:rsidR="003D10FA">
        <w:rPr>
          <w:rFonts w:asciiTheme="majorHAnsi" w:hAnsiTheme="majorHAnsi" w:cstheme="majorHAnsi"/>
        </w:rPr>
        <w:t xml:space="preserve"> </w:t>
      </w:r>
      <w:r w:rsidR="00971463">
        <w:rPr>
          <w:rFonts w:asciiTheme="majorHAnsi" w:hAnsiTheme="majorHAnsi" w:cstheme="majorHAnsi"/>
        </w:rPr>
        <w:t xml:space="preserve">increase </w:t>
      </w:r>
      <w:r w:rsidR="00FE414D">
        <w:rPr>
          <w:rFonts w:asciiTheme="majorHAnsi" w:hAnsiTheme="majorHAnsi" w:cstheme="majorHAnsi"/>
        </w:rPr>
        <w:t xml:space="preserve">inequality, </w:t>
      </w:r>
      <w:r w:rsidR="00384B99">
        <w:rPr>
          <w:rFonts w:asciiTheme="majorHAnsi" w:hAnsiTheme="majorHAnsi" w:cstheme="majorHAnsi"/>
        </w:rPr>
        <w:t>mainly</w:t>
      </w:r>
      <w:r w:rsidR="00FE414D">
        <w:rPr>
          <w:rFonts w:asciiTheme="majorHAnsi" w:hAnsiTheme="majorHAnsi" w:cstheme="majorHAnsi"/>
        </w:rPr>
        <w:t xml:space="preserve"> </w:t>
      </w:r>
      <w:r w:rsidR="00384B99">
        <w:rPr>
          <w:rFonts w:asciiTheme="majorHAnsi" w:hAnsiTheme="majorHAnsi" w:cstheme="majorHAnsi"/>
        </w:rPr>
        <w:t xml:space="preserve">due to the regressive nature of the </w:t>
      </w:r>
      <w:r w:rsidR="00897BF5">
        <w:rPr>
          <w:rFonts w:asciiTheme="majorHAnsi" w:hAnsiTheme="majorHAnsi" w:cstheme="majorHAnsi"/>
        </w:rPr>
        <w:t>value-added tax, IGV</w:t>
      </w:r>
      <w:r w:rsidR="00384B99">
        <w:rPr>
          <w:rFonts w:asciiTheme="majorHAnsi" w:hAnsiTheme="majorHAnsi" w:cstheme="majorHAnsi"/>
        </w:rPr>
        <w:t xml:space="preserve">, while </w:t>
      </w:r>
      <w:r w:rsidR="007F6A92">
        <w:rPr>
          <w:rFonts w:asciiTheme="majorHAnsi" w:hAnsiTheme="majorHAnsi" w:cstheme="majorHAnsi"/>
        </w:rPr>
        <w:t>excise taxes</w:t>
      </w:r>
      <w:r w:rsidR="00384B99">
        <w:rPr>
          <w:rFonts w:asciiTheme="majorHAnsi" w:hAnsiTheme="majorHAnsi" w:cstheme="majorHAnsi"/>
        </w:rPr>
        <w:t xml:space="preserve"> </w:t>
      </w:r>
      <w:r w:rsidR="00F5278C">
        <w:rPr>
          <w:rFonts w:asciiTheme="majorHAnsi" w:hAnsiTheme="majorHAnsi" w:cstheme="majorHAnsi"/>
        </w:rPr>
        <w:t>a</w:t>
      </w:r>
      <w:r w:rsidR="007F6A92">
        <w:rPr>
          <w:rFonts w:asciiTheme="majorHAnsi" w:hAnsiTheme="majorHAnsi" w:cstheme="majorHAnsi"/>
        </w:rPr>
        <w:t>re mildly progressive.</w:t>
      </w:r>
      <w:r w:rsidR="00BB3196">
        <w:rPr>
          <w:rFonts w:asciiTheme="majorHAnsi" w:hAnsiTheme="majorHAnsi" w:cstheme="majorHAnsi"/>
        </w:rPr>
        <w:t xml:space="preserve"> </w:t>
      </w:r>
      <w:r w:rsidR="003A6C7D">
        <w:rPr>
          <w:rFonts w:asciiTheme="majorHAnsi" w:hAnsiTheme="majorHAnsi" w:cstheme="majorHAnsi"/>
        </w:rPr>
        <w:t>Public education</w:t>
      </w:r>
      <w:r w:rsidR="003F1D0B">
        <w:rPr>
          <w:rFonts w:asciiTheme="majorHAnsi" w:hAnsiTheme="majorHAnsi" w:cstheme="majorHAnsi"/>
        </w:rPr>
        <w:t xml:space="preserve"> benefits and, to a lesser extent, public health benefits </w:t>
      </w:r>
      <w:r w:rsidR="00F5278C">
        <w:rPr>
          <w:rFonts w:asciiTheme="majorHAnsi" w:hAnsiTheme="majorHAnsi" w:cstheme="majorHAnsi"/>
        </w:rPr>
        <w:t>ar</w:t>
      </w:r>
      <w:r w:rsidR="001E2C22">
        <w:rPr>
          <w:rFonts w:asciiTheme="majorHAnsi" w:hAnsiTheme="majorHAnsi" w:cstheme="majorHAnsi"/>
        </w:rPr>
        <w:t xml:space="preserve">e </w:t>
      </w:r>
      <w:r w:rsidR="00120066">
        <w:rPr>
          <w:rFonts w:asciiTheme="majorHAnsi" w:hAnsiTheme="majorHAnsi" w:cstheme="majorHAnsi"/>
        </w:rPr>
        <w:t xml:space="preserve">progressive, </w:t>
      </w:r>
      <w:r w:rsidR="006437AA">
        <w:rPr>
          <w:rFonts w:asciiTheme="majorHAnsi" w:hAnsiTheme="majorHAnsi" w:cstheme="majorHAnsi"/>
        </w:rPr>
        <w:t xml:space="preserve">leading to an even more pronounced </w:t>
      </w:r>
      <w:r w:rsidR="001C4788">
        <w:rPr>
          <w:rFonts w:asciiTheme="majorHAnsi" w:hAnsiTheme="majorHAnsi" w:cstheme="majorHAnsi"/>
        </w:rPr>
        <w:t>reduction in inequality when accounted for.</w:t>
      </w:r>
    </w:p>
    <w:p w14:paraId="65195DD4" w14:textId="61B1DFC4" w:rsidR="00E96ED3" w:rsidRDefault="001205F9" w:rsidP="003036FE">
      <w:pPr>
        <w:spacing w:after="0"/>
        <w:jc w:val="both"/>
        <w:rPr>
          <w:rFonts w:asciiTheme="majorHAnsi" w:hAnsiTheme="majorHAnsi" w:cstheme="majorHAnsi"/>
        </w:rPr>
      </w:pPr>
      <w:r w:rsidRPr="00733E05">
        <w:rPr>
          <w:rFonts w:asciiTheme="majorHAnsi" w:hAnsiTheme="majorHAnsi" w:cstheme="majorHAnsi"/>
        </w:rPr>
        <w:lastRenderedPageBreak/>
        <w:t>This overall picture suggests that while Peru</w:t>
      </w:r>
      <w:r w:rsidR="00AA0413" w:rsidRPr="00733E05">
        <w:rPr>
          <w:rFonts w:asciiTheme="majorHAnsi" w:hAnsiTheme="majorHAnsi" w:cstheme="majorHAnsi"/>
        </w:rPr>
        <w:t>’</w:t>
      </w:r>
      <w:r w:rsidRPr="00733E05">
        <w:rPr>
          <w:rFonts w:asciiTheme="majorHAnsi" w:hAnsiTheme="majorHAnsi" w:cstheme="majorHAnsi"/>
        </w:rPr>
        <w:t>s fiscal system is somewhat progressive, the poverty-increasing effect of indirect taxes outweighs the poverty-reducing impact of direct transfers.</w:t>
      </w:r>
      <w:r w:rsidR="0087470E" w:rsidRPr="00733E05">
        <w:rPr>
          <w:rFonts w:asciiTheme="majorHAnsi" w:hAnsiTheme="majorHAnsi" w:cstheme="majorHAnsi"/>
        </w:rPr>
        <w:t xml:space="preserve"> </w:t>
      </w:r>
      <w:r w:rsidR="006409EA" w:rsidRPr="00733E05">
        <w:rPr>
          <w:rFonts w:asciiTheme="majorHAnsi" w:hAnsiTheme="majorHAnsi" w:cstheme="majorHAnsi"/>
        </w:rPr>
        <w:t>The bottom 40</w:t>
      </w:r>
      <w:r w:rsidR="005F33B3">
        <w:rPr>
          <w:rFonts w:asciiTheme="majorHAnsi" w:hAnsiTheme="majorHAnsi" w:cstheme="majorHAnsi"/>
        </w:rPr>
        <w:t xml:space="preserve"> percent</w:t>
      </w:r>
      <w:r w:rsidR="006409EA" w:rsidRPr="00733E05">
        <w:rPr>
          <w:rFonts w:asciiTheme="majorHAnsi" w:hAnsiTheme="majorHAnsi" w:cstheme="majorHAnsi"/>
        </w:rPr>
        <w:t xml:space="preserve"> </w:t>
      </w:r>
      <w:r w:rsidR="006E6ECB" w:rsidRPr="00733E05">
        <w:rPr>
          <w:rFonts w:asciiTheme="majorHAnsi" w:hAnsiTheme="majorHAnsi" w:cstheme="majorHAnsi"/>
        </w:rPr>
        <w:t>benefit</w:t>
      </w:r>
      <w:r w:rsidR="004B20EE" w:rsidRPr="00733E05">
        <w:rPr>
          <w:rFonts w:asciiTheme="majorHAnsi" w:hAnsiTheme="majorHAnsi" w:cstheme="majorHAnsi"/>
        </w:rPr>
        <w:t>s</w:t>
      </w:r>
      <w:r w:rsidR="009130DB" w:rsidRPr="00733E05">
        <w:rPr>
          <w:rFonts w:asciiTheme="majorHAnsi" w:hAnsiTheme="majorHAnsi" w:cstheme="majorHAnsi"/>
        </w:rPr>
        <w:t xml:space="preserve"> </w:t>
      </w:r>
      <w:r w:rsidR="004B20EE" w:rsidRPr="00733E05">
        <w:rPr>
          <w:rFonts w:asciiTheme="majorHAnsi" w:hAnsiTheme="majorHAnsi" w:cstheme="majorHAnsi"/>
        </w:rPr>
        <w:t xml:space="preserve">more from </w:t>
      </w:r>
      <w:r w:rsidR="00F3362B" w:rsidRPr="00733E05">
        <w:rPr>
          <w:rFonts w:asciiTheme="majorHAnsi" w:hAnsiTheme="majorHAnsi" w:cstheme="majorHAnsi"/>
        </w:rPr>
        <w:t>the fiscal system than the top 60</w:t>
      </w:r>
      <w:r w:rsidR="005F33B3">
        <w:rPr>
          <w:rFonts w:asciiTheme="majorHAnsi" w:hAnsiTheme="majorHAnsi" w:cstheme="majorHAnsi"/>
        </w:rPr>
        <w:t xml:space="preserve"> percent, with only the </w:t>
      </w:r>
      <w:r w:rsidR="008A6E48" w:rsidRPr="00733E05">
        <w:rPr>
          <w:rFonts w:asciiTheme="majorHAnsi" w:hAnsiTheme="majorHAnsi" w:cstheme="majorHAnsi"/>
        </w:rPr>
        <w:t>poorest</w:t>
      </w:r>
      <w:r w:rsidR="00B55BB2" w:rsidRPr="00733E05">
        <w:rPr>
          <w:rFonts w:asciiTheme="majorHAnsi" w:hAnsiTheme="majorHAnsi" w:cstheme="majorHAnsi"/>
        </w:rPr>
        <w:t xml:space="preserve"> quintile</w:t>
      </w:r>
      <w:r w:rsidR="003A0B87" w:rsidRPr="00733E05">
        <w:rPr>
          <w:rFonts w:asciiTheme="majorHAnsi" w:hAnsiTheme="majorHAnsi" w:cstheme="majorHAnsi"/>
        </w:rPr>
        <w:t xml:space="preserve"> </w:t>
      </w:r>
      <w:r w:rsidR="005F33B3">
        <w:rPr>
          <w:rFonts w:asciiTheme="majorHAnsi" w:hAnsiTheme="majorHAnsi" w:cstheme="majorHAnsi"/>
        </w:rPr>
        <w:t>experiencing</w:t>
      </w:r>
      <w:r w:rsidR="00B25F5C" w:rsidRPr="00733E05">
        <w:rPr>
          <w:rFonts w:asciiTheme="majorHAnsi" w:hAnsiTheme="majorHAnsi" w:cstheme="majorHAnsi"/>
        </w:rPr>
        <w:t xml:space="preserve"> a net gain</w:t>
      </w:r>
      <w:r w:rsidR="005A145D" w:rsidRPr="00733E05">
        <w:rPr>
          <w:rFonts w:asciiTheme="majorHAnsi" w:hAnsiTheme="majorHAnsi" w:cstheme="majorHAnsi"/>
        </w:rPr>
        <w:t xml:space="preserve"> from</w:t>
      </w:r>
      <w:r w:rsidR="00122127" w:rsidRPr="00733E05">
        <w:rPr>
          <w:rFonts w:asciiTheme="majorHAnsi" w:hAnsiTheme="majorHAnsi" w:cstheme="majorHAnsi"/>
        </w:rPr>
        <w:t xml:space="preserve"> fiscal interventions</w:t>
      </w:r>
      <w:r w:rsidR="008165A9" w:rsidRPr="00733E05">
        <w:rPr>
          <w:rFonts w:asciiTheme="majorHAnsi" w:hAnsiTheme="majorHAnsi" w:cstheme="majorHAnsi"/>
        </w:rPr>
        <w:t xml:space="preserve"> </w:t>
      </w:r>
      <w:r w:rsidR="00E22192">
        <w:rPr>
          <w:rFonts w:asciiTheme="majorHAnsi" w:hAnsiTheme="majorHAnsi" w:cstheme="majorHAnsi"/>
        </w:rPr>
        <w:t>(</w:t>
      </w:r>
      <w:r w:rsidR="00904B0E" w:rsidRPr="00733E05">
        <w:rPr>
          <w:rFonts w:asciiTheme="majorHAnsi" w:hAnsiTheme="majorHAnsi" w:cstheme="majorHAnsi"/>
        </w:rPr>
        <w:t>5.2</w:t>
      </w:r>
      <w:r w:rsidR="00E22192">
        <w:rPr>
          <w:rFonts w:asciiTheme="majorHAnsi" w:hAnsiTheme="majorHAnsi" w:cstheme="majorHAnsi"/>
        </w:rPr>
        <w:t xml:space="preserve"> percent increase in consumable income</w:t>
      </w:r>
      <w:r w:rsidR="007553CE" w:rsidRPr="00733E05">
        <w:rPr>
          <w:rFonts w:asciiTheme="majorHAnsi" w:hAnsiTheme="majorHAnsi" w:cstheme="majorHAnsi"/>
        </w:rPr>
        <w:t xml:space="preserve"> and </w:t>
      </w:r>
      <w:r w:rsidR="0018472F" w:rsidRPr="00733E05">
        <w:rPr>
          <w:rFonts w:asciiTheme="majorHAnsi" w:hAnsiTheme="majorHAnsi" w:cstheme="majorHAnsi"/>
        </w:rPr>
        <w:t>57.3</w:t>
      </w:r>
      <w:r w:rsidR="00E22192">
        <w:rPr>
          <w:rFonts w:asciiTheme="majorHAnsi" w:hAnsiTheme="majorHAnsi" w:cstheme="majorHAnsi"/>
        </w:rPr>
        <w:t xml:space="preserve"> percent in final income</w:t>
      </w:r>
      <w:r w:rsidR="00BD7567" w:rsidRPr="00733E05">
        <w:rPr>
          <w:rFonts w:asciiTheme="majorHAnsi" w:hAnsiTheme="majorHAnsi" w:cstheme="majorHAnsi"/>
        </w:rPr>
        <w:t xml:space="preserve">, compared to </w:t>
      </w:r>
      <w:r w:rsidR="00904B0E" w:rsidRPr="00733E05">
        <w:rPr>
          <w:rFonts w:asciiTheme="majorHAnsi" w:hAnsiTheme="majorHAnsi" w:cstheme="majorHAnsi"/>
        </w:rPr>
        <w:t>market income</w:t>
      </w:r>
      <w:r w:rsidR="00B44B65" w:rsidRPr="00733E05">
        <w:rPr>
          <w:rFonts w:asciiTheme="majorHAnsi" w:hAnsiTheme="majorHAnsi" w:cstheme="majorHAnsi"/>
        </w:rPr>
        <w:t xml:space="preserve"> (</w:t>
      </w:r>
      <w:r w:rsidR="00FA7D48">
        <w:rPr>
          <w:rFonts w:asciiTheme="majorHAnsi" w:hAnsiTheme="majorHAnsi" w:cstheme="majorHAnsi"/>
        </w:rPr>
        <w:fldChar w:fldCharType="begin"/>
      </w:r>
      <w:r w:rsidR="00FA7D48">
        <w:rPr>
          <w:rFonts w:asciiTheme="majorHAnsi" w:hAnsiTheme="majorHAnsi" w:cstheme="majorHAnsi"/>
        </w:rPr>
        <w:instrText xml:space="preserve"> REF _Ref175135130 \h  \* MERGEFORMAT </w:instrText>
      </w:r>
      <w:r w:rsidR="00FA7D48">
        <w:rPr>
          <w:rFonts w:asciiTheme="majorHAnsi" w:hAnsiTheme="majorHAnsi" w:cstheme="majorHAnsi"/>
        </w:rPr>
      </w:r>
      <w:r w:rsidR="00FA7D48">
        <w:rPr>
          <w:rFonts w:asciiTheme="majorHAnsi" w:hAnsiTheme="majorHAnsi" w:cstheme="majorHAnsi"/>
        </w:rPr>
        <w:fldChar w:fldCharType="separate"/>
      </w:r>
      <w:r w:rsidR="00B71781" w:rsidRPr="003036FE">
        <w:rPr>
          <w:rFonts w:asciiTheme="majorHAnsi" w:hAnsiTheme="majorHAnsi" w:cstheme="majorHAnsi"/>
        </w:rPr>
        <w:t xml:space="preserve">Figure </w:t>
      </w:r>
      <w:r w:rsidR="00B71781">
        <w:rPr>
          <w:rFonts w:asciiTheme="majorHAnsi" w:hAnsiTheme="majorHAnsi" w:cstheme="majorHAnsi"/>
        </w:rPr>
        <w:t>11</w:t>
      </w:r>
      <w:r w:rsidR="00FA7D48">
        <w:rPr>
          <w:rFonts w:asciiTheme="majorHAnsi" w:hAnsiTheme="majorHAnsi" w:cstheme="majorHAnsi"/>
        </w:rPr>
        <w:fldChar w:fldCharType="end"/>
      </w:r>
      <w:r w:rsidR="00FA7D48">
        <w:rPr>
          <w:rFonts w:asciiTheme="majorHAnsi" w:hAnsiTheme="majorHAnsi" w:cstheme="majorHAnsi"/>
        </w:rPr>
        <w:t>)</w:t>
      </w:r>
      <w:r w:rsidR="00B76910" w:rsidRPr="00733E05">
        <w:rPr>
          <w:rFonts w:asciiTheme="majorHAnsi" w:hAnsiTheme="majorHAnsi" w:cstheme="majorHAnsi"/>
        </w:rPr>
        <w:t>.</w:t>
      </w:r>
      <w:r w:rsidR="003A0B87" w:rsidRPr="00733E05">
        <w:rPr>
          <w:rFonts w:asciiTheme="majorHAnsi" w:hAnsiTheme="majorHAnsi" w:cstheme="majorHAnsi"/>
        </w:rPr>
        <w:t xml:space="preserve"> </w:t>
      </w:r>
      <w:r w:rsidR="00FA7D48">
        <w:rPr>
          <w:rFonts w:asciiTheme="majorHAnsi" w:hAnsiTheme="majorHAnsi" w:cstheme="majorHAnsi"/>
        </w:rPr>
        <w:t>H</w:t>
      </w:r>
      <w:r w:rsidR="00F87C28" w:rsidRPr="00733E05">
        <w:rPr>
          <w:rFonts w:asciiTheme="majorHAnsi" w:hAnsiTheme="majorHAnsi" w:cstheme="majorHAnsi"/>
        </w:rPr>
        <w:t xml:space="preserve">ouseholds in </w:t>
      </w:r>
      <w:r w:rsidR="001625B9" w:rsidRPr="00733E05">
        <w:rPr>
          <w:rFonts w:asciiTheme="majorHAnsi" w:hAnsiTheme="majorHAnsi" w:cstheme="majorHAnsi"/>
        </w:rPr>
        <w:t>the second quintile and above</w:t>
      </w:r>
      <w:r w:rsidR="00F87C28" w:rsidRPr="00733E05">
        <w:rPr>
          <w:rFonts w:asciiTheme="majorHAnsi" w:hAnsiTheme="majorHAnsi" w:cstheme="majorHAnsi"/>
        </w:rPr>
        <w:t xml:space="preserve"> are net </w:t>
      </w:r>
      <w:r w:rsidR="00901F87" w:rsidRPr="00733E05">
        <w:rPr>
          <w:rFonts w:asciiTheme="majorHAnsi" w:hAnsiTheme="majorHAnsi" w:cstheme="majorHAnsi"/>
        </w:rPr>
        <w:t>contributors</w:t>
      </w:r>
      <w:r w:rsidR="00FA7D48">
        <w:rPr>
          <w:rFonts w:asciiTheme="majorHAnsi" w:hAnsiTheme="majorHAnsi" w:cstheme="majorHAnsi"/>
        </w:rPr>
        <w:t>,</w:t>
      </w:r>
      <w:r w:rsidR="00F87C28" w:rsidRPr="00733E05">
        <w:rPr>
          <w:rFonts w:asciiTheme="majorHAnsi" w:hAnsiTheme="majorHAnsi" w:cstheme="majorHAnsi"/>
        </w:rPr>
        <w:t xml:space="preserve"> </w:t>
      </w:r>
      <w:r w:rsidR="00A45D6B">
        <w:rPr>
          <w:rFonts w:asciiTheme="majorHAnsi" w:hAnsiTheme="majorHAnsi" w:cstheme="majorHAnsi"/>
        </w:rPr>
        <w:t xml:space="preserve">as the impact </w:t>
      </w:r>
      <w:r w:rsidR="00E02D6C" w:rsidRPr="00733E05">
        <w:rPr>
          <w:rFonts w:asciiTheme="majorHAnsi" w:hAnsiTheme="majorHAnsi" w:cstheme="majorHAnsi"/>
        </w:rPr>
        <w:t>of direct transfers and in-kind benefits</w:t>
      </w:r>
      <w:r w:rsidR="009533FC" w:rsidRPr="00733E05">
        <w:rPr>
          <w:rFonts w:asciiTheme="majorHAnsi" w:hAnsiTheme="majorHAnsi" w:cstheme="majorHAnsi"/>
        </w:rPr>
        <w:t xml:space="preserve"> </w:t>
      </w:r>
      <w:r w:rsidR="00A45D6B">
        <w:rPr>
          <w:rFonts w:asciiTheme="majorHAnsi" w:hAnsiTheme="majorHAnsi" w:cstheme="majorHAnsi"/>
        </w:rPr>
        <w:t xml:space="preserve">decreases along the </w:t>
      </w:r>
      <w:r w:rsidR="009533FC" w:rsidRPr="00733E05">
        <w:rPr>
          <w:rFonts w:asciiTheme="majorHAnsi" w:hAnsiTheme="majorHAnsi" w:cstheme="majorHAnsi"/>
        </w:rPr>
        <w:t>income distribution</w:t>
      </w:r>
      <w:r w:rsidR="00F87C28" w:rsidRPr="00733E05">
        <w:rPr>
          <w:rFonts w:asciiTheme="majorHAnsi" w:hAnsiTheme="majorHAnsi" w:cstheme="majorHAnsi"/>
        </w:rPr>
        <w:t>.</w:t>
      </w:r>
      <w:r w:rsidR="00C13E37" w:rsidRPr="00733E05">
        <w:rPr>
          <w:rFonts w:asciiTheme="majorHAnsi" w:hAnsiTheme="majorHAnsi" w:cstheme="majorHAnsi"/>
        </w:rPr>
        <w:t xml:space="preserve"> </w:t>
      </w:r>
      <w:r w:rsidR="00E40A36">
        <w:rPr>
          <w:rFonts w:asciiTheme="majorHAnsi" w:hAnsiTheme="majorHAnsi" w:cstheme="majorHAnsi"/>
        </w:rPr>
        <w:t>P</w:t>
      </w:r>
      <w:r w:rsidR="00DD67AA" w:rsidRPr="00733E05">
        <w:rPr>
          <w:rFonts w:asciiTheme="majorHAnsi" w:hAnsiTheme="majorHAnsi" w:cstheme="majorHAnsi"/>
        </w:rPr>
        <w:t>rograms like JUNTOS and Pensión 65</w:t>
      </w:r>
      <w:r w:rsidR="00E40A36">
        <w:rPr>
          <w:rFonts w:asciiTheme="majorHAnsi" w:hAnsiTheme="majorHAnsi" w:cstheme="majorHAnsi"/>
        </w:rPr>
        <w:t xml:space="preserve"> are well-targeted to the poor but decline in</w:t>
      </w:r>
      <w:r w:rsidR="00496873">
        <w:rPr>
          <w:rFonts w:asciiTheme="majorHAnsi" w:hAnsiTheme="majorHAnsi" w:cstheme="majorHAnsi"/>
        </w:rPr>
        <w:t xml:space="preserve"> relevance</w:t>
      </w:r>
      <w:r w:rsidR="00143B13">
        <w:rPr>
          <w:rFonts w:asciiTheme="majorHAnsi" w:hAnsiTheme="majorHAnsi" w:cstheme="majorHAnsi"/>
        </w:rPr>
        <w:t xml:space="preserve"> s income</w:t>
      </w:r>
      <w:r w:rsidR="003C0B0D">
        <w:rPr>
          <w:rFonts w:asciiTheme="majorHAnsi" w:hAnsiTheme="majorHAnsi" w:cstheme="majorHAnsi"/>
        </w:rPr>
        <w:t xml:space="preserve"> increases</w:t>
      </w:r>
      <w:r w:rsidR="00CA7368">
        <w:rPr>
          <w:rFonts w:asciiTheme="majorHAnsi" w:hAnsiTheme="majorHAnsi" w:cstheme="majorHAnsi"/>
        </w:rPr>
        <w:t>.</w:t>
      </w:r>
      <w:r w:rsidR="00FA13DF">
        <w:rPr>
          <w:rFonts w:asciiTheme="majorHAnsi" w:hAnsiTheme="majorHAnsi" w:cstheme="majorHAnsi"/>
        </w:rPr>
        <w:t xml:space="preserve"> </w:t>
      </w:r>
      <w:r w:rsidR="00143B13">
        <w:rPr>
          <w:rFonts w:asciiTheme="majorHAnsi" w:hAnsiTheme="majorHAnsi" w:cstheme="majorHAnsi"/>
        </w:rPr>
        <w:t>I</w:t>
      </w:r>
      <w:r w:rsidR="00575A38">
        <w:rPr>
          <w:rFonts w:asciiTheme="majorHAnsi" w:hAnsiTheme="majorHAnsi" w:cstheme="majorHAnsi"/>
        </w:rPr>
        <w:t xml:space="preserve">ndirect taxes </w:t>
      </w:r>
      <w:r w:rsidR="00A85470">
        <w:rPr>
          <w:rFonts w:asciiTheme="majorHAnsi" w:hAnsiTheme="majorHAnsi" w:cstheme="majorHAnsi"/>
        </w:rPr>
        <w:t>impact households uniformly</w:t>
      </w:r>
      <w:r w:rsidR="00143B13">
        <w:rPr>
          <w:rFonts w:asciiTheme="majorHAnsi" w:hAnsiTheme="majorHAnsi" w:cstheme="majorHAnsi"/>
        </w:rPr>
        <w:t xml:space="preserve">, ranging from </w:t>
      </w:r>
      <w:r w:rsidR="00243DAB">
        <w:rPr>
          <w:rFonts w:asciiTheme="majorHAnsi" w:hAnsiTheme="majorHAnsi" w:cstheme="majorHAnsi"/>
        </w:rPr>
        <w:t>7</w:t>
      </w:r>
      <w:r w:rsidR="00143B13">
        <w:rPr>
          <w:rFonts w:asciiTheme="majorHAnsi" w:hAnsiTheme="majorHAnsi" w:cstheme="majorHAnsi"/>
        </w:rPr>
        <w:t xml:space="preserve"> percent</w:t>
      </w:r>
      <w:r w:rsidR="00243DAB">
        <w:rPr>
          <w:rFonts w:asciiTheme="majorHAnsi" w:hAnsiTheme="majorHAnsi" w:cstheme="majorHAnsi"/>
        </w:rPr>
        <w:t xml:space="preserve"> </w:t>
      </w:r>
      <w:r w:rsidR="00785B47">
        <w:rPr>
          <w:rFonts w:asciiTheme="majorHAnsi" w:hAnsiTheme="majorHAnsi" w:cstheme="majorHAnsi"/>
        </w:rPr>
        <w:t>to</w:t>
      </w:r>
      <w:r w:rsidR="00243DAB">
        <w:rPr>
          <w:rFonts w:asciiTheme="majorHAnsi" w:hAnsiTheme="majorHAnsi" w:cstheme="majorHAnsi"/>
        </w:rPr>
        <w:t xml:space="preserve"> 9</w:t>
      </w:r>
      <w:r w:rsidR="00143B13">
        <w:rPr>
          <w:rFonts w:asciiTheme="majorHAnsi" w:hAnsiTheme="majorHAnsi" w:cstheme="majorHAnsi"/>
        </w:rPr>
        <w:t xml:space="preserve"> percent</w:t>
      </w:r>
      <w:r w:rsidR="00243DAB">
        <w:rPr>
          <w:rFonts w:asciiTheme="majorHAnsi" w:hAnsiTheme="majorHAnsi" w:cstheme="majorHAnsi"/>
        </w:rPr>
        <w:t xml:space="preserve"> </w:t>
      </w:r>
      <w:r w:rsidR="00005105">
        <w:rPr>
          <w:rFonts w:asciiTheme="majorHAnsi" w:hAnsiTheme="majorHAnsi" w:cstheme="majorHAnsi"/>
        </w:rPr>
        <w:t xml:space="preserve">of </w:t>
      </w:r>
      <w:r w:rsidR="00A77C28">
        <w:rPr>
          <w:rFonts w:asciiTheme="majorHAnsi" w:hAnsiTheme="majorHAnsi" w:cstheme="majorHAnsi"/>
        </w:rPr>
        <w:t>market income</w:t>
      </w:r>
      <w:r w:rsidR="00A857CA">
        <w:rPr>
          <w:rFonts w:asciiTheme="majorHAnsi" w:hAnsiTheme="majorHAnsi" w:cstheme="majorHAnsi"/>
        </w:rPr>
        <w:t xml:space="preserve"> across the distribution</w:t>
      </w:r>
      <w:r w:rsidR="00A77C28">
        <w:rPr>
          <w:rFonts w:asciiTheme="majorHAnsi" w:hAnsiTheme="majorHAnsi" w:cstheme="majorHAnsi"/>
        </w:rPr>
        <w:t>.</w:t>
      </w:r>
      <w:r w:rsidR="00505751">
        <w:rPr>
          <w:rFonts w:asciiTheme="majorHAnsi" w:hAnsiTheme="majorHAnsi" w:cstheme="majorHAnsi"/>
        </w:rPr>
        <w:t xml:space="preserve"> </w:t>
      </w:r>
      <w:r w:rsidR="00A857CA">
        <w:rPr>
          <w:rFonts w:asciiTheme="majorHAnsi" w:hAnsiTheme="majorHAnsi" w:cstheme="majorHAnsi"/>
        </w:rPr>
        <w:t>D</w:t>
      </w:r>
      <w:r w:rsidR="001935EE">
        <w:rPr>
          <w:rFonts w:asciiTheme="majorHAnsi" w:hAnsiTheme="majorHAnsi" w:cstheme="majorHAnsi"/>
        </w:rPr>
        <w:t xml:space="preserve">irect taxes </w:t>
      </w:r>
      <w:r w:rsidR="007B51E3">
        <w:rPr>
          <w:rFonts w:asciiTheme="majorHAnsi" w:hAnsiTheme="majorHAnsi" w:cstheme="majorHAnsi"/>
        </w:rPr>
        <w:t>are highly progressive</w:t>
      </w:r>
      <w:r w:rsidR="00A857CA">
        <w:rPr>
          <w:rFonts w:asciiTheme="majorHAnsi" w:hAnsiTheme="majorHAnsi" w:cstheme="majorHAnsi"/>
        </w:rPr>
        <w:t>,</w:t>
      </w:r>
      <w:r w:rsidR="00DB1D79">
        <w:rPr>
          <w:rFonts w:asciiTheme="majorHAnsi" w:hAnsiTheme="majorHAnsi" w:cstheme="majorHAnsi"/>
        </w:rPr>
        <w:t xml:space="preserve"> </w:t>
      </w:r>
      <w:r w:rsidR="00A857CA">
        <w:rPr>
          <w:rFonts w:asciiTheme="majorHAnsi" w:hAnsiTheme="majorHAnsi" w:cstheme="majorHAnsi"/>
        </w:rPr>
        <w:t>primarily</w:t>
      </w:r>
      <w:r w:rsidR="00C624E1">
        <w:rPr>
          <w:rFonts w:asciiTheme="majorHAnsi" w:hAnsiTheme="majorHAnsi" w:cstheme="majorHAnsi"/>
        </w:rPr>
        <w:t xml:space="preserve"> affect</w:t>
      </w:r>
      <w:r w:rsidR="00A857CA">
        <w:rPr>
          <w:rFonts w:asciiTheme="majorHAnsi" w:hAnsiTheme="majorHAnsi" w:cstheme="majorHAnsi"/>
        </w:rPr>
        <w:t>ing</w:t>
      </w:r>
      <w:r w:rsidR="001935EE">
        <w:rPr>
          <w:rFonts w:asciiTheme="majorHAnsi" w:hAnsiTheme="majorHAnsi" w:cstheme="majorHAnsi"/>
        </w:rPr>
        <w:t xml:space="preserve"> the upper quintile</w:t>
      </w:r>
      <w:r w:rsidR="00A857CA">
        <w:rPr>
          <w:rFonts w:asciiTheme="majorHAnsi" w:hAnsiTheme="majorHAnsi" w:cstheme="majorHAnsi"/>
        </w:rPr>
        <w:t xml:space="preserve"> due to the</w:t>
      </w:r>
      <w:r w:rsidR="00614F9C">
        <w:rPr>
          <w:rFonts w:asciiTheme="majorHAnsi" w:hAnsiTheme="majorHAnsi" w:cstheme="majorHAnsi"/>
        </w:rPr>
        <w:t xml:space="preserve"> 7 tax-unit deduction</w:t>
      </w:r>
      <w:r w:rsidR="00643202">
        <w:rPr>
          <w:rFonts w:asciiTheme="majorHAnsi" w:hAnsiTheme="majorHAnsi" w:cstheme="majorHAnsi"/>
        </w:rPr>
        <w:t xml:space="preserve"> threshold</w:t>
      </w:r>
      <w:r w:rsidR="00614F9C">
        <w:rPr>
          <w:rFonts w:asciiTheme="majorHAnsi" w:hAnsiTheme="majorHAnsi" w:cstheme="majorHAnsi"/>
        </w:rPr>
        <w:t>.</w:t>
      </w:r>
    </w:p>
    <w:p w14:paraId="1E8FAD4D" w14:textId="77777777" w:rsidR="003036FE" w:rsidRDefault="003036FE" w:rsidP="003036FE">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9350"/>
      </w:tblGrid>
      <w:tr w:rsidR="003036FE" w14:paraId="1699CCC8" w14:textId="77777777" w:rsidTr="003036FE">
        <w:tc>
          <w:tcPr>
            <w:tcW w:w="9350" w:type="dxa"/>
          </w:tcPr>
          <w:p w14:paraId="3A7E33E6" w14:textId="4DFD6C9A" w:rsidR="003036FE" w:rsidRDefault="003036FE" w:rsidP="003036FE">
            <w:pPr>
              <w:spacing w:after="120" w:line="259" w:lineRule="auto"/>
              <w:jc w:val="both"/>
              <w:rPr>
                <w:rFonts w:asciiTheme="majorHAnsi" w:hAnsiTheme="majorHAnsi" w:cstheme="majorHAnsi"/>
              </w:rPr>
            </w:pPr>
            <w:bookmarkStart w:id="12" w:name="_Ref175135130"/>
            <w:r w:rsidRPr="003036FE">
              <w:rPr>
                <w:rFonts w:asciiTheme="majorHAnsi" w:hAnsiTheme="majorHAnsi" w:cstheme="majorHAnsi"/>
              </w:rPr>
              <w:t xml:space="preserve">Figure </w:t>
            </w:r>
            <w:r w:rsidRPr="003036FE">
              <w:rPr>
                <w:rFonts w:asciiTheme="majorHAnsi" w:hAnsiTheme="majorHAnsi" w:cstheme="majorHAnsi"/>
              </w:rPr>
              <w:fldChar w:fldCharType="begin"/>
            </w:r>
            <w:r w:rsidRPr="003036FE">
              <w:rPr>
                <w:rFonts w:asciiTheme="majorHAnsi" w:hAnsiTheme="majorHAnsi" w:cstheme="majorHAnsi"/>
              </w:rPr>
              <w:instrText xml:space="preserve"> SEQ Figure \* ARABIC </w:instrText>
            </w:r>
            <w:r w:rsidRPr="003036FE">
              <w:rPr>
                <w:rFonts w:asciiTheme="majorHAnsi" w:hAnsiTheme="majorHAnsi" w:cstheme="majorHAnsi"/>
              </w:rPr>
              <w:fldChar w:fldCharType="separate"/>
            </w:r>
            <w:r w:rsidR="00B71781">
              <w:rPr>
                <w:rFonts w:asciiTheme="majorHAnsi" w:hAnsiTheme="majorHAnsi" w:cstheme="majorHAnsi"/>
                <w:noProof/>
              </w:rPr>
              <w:t>11</w:t>
            </w:r>
            <w:r w:rsidRPr="003036FE">
              <w:rPr>
                <w:rFonts w:asciiTheme="majorHAnsi" w:hAnsiTheme="majorHAnsi" w:cstheme="majorHAnsi"/>
              </w:rPr>
              <w:fldChar w:fldCharType="end"/>
            </w:r>
            <w:bookmarkEnd w:id="12"/>
            <w:r w:rsidRPr="003036FE">
              <w:rPr>
                <w:rFonts w:asciiTheme="majorHAnsi" w:hAnsiTheme="majorHAnsi" w:cstheme="majorHAnsi"/>
              </w:rPr>
              <w:t>. Impact by Fiscal Instrument, 2019</w:t>
            </w:r>
            <w:r>
              <w:rPr>
                <w:rFonts w:asciiTheme="majorHAnsi" w:hAnsiTheme="majorHAnsi" w:cstheme="majorHAnsi"/>
              </w:rPr>
              <w:t xml:space="preserve"> </w:t>
            </w:r>
            <w:r w:rsidRPr="003036FE">
              <w:rPr>
                <w:rFonts w:asciiTheme="majorHAnsi" w:hAnsiTheme="majorHAnsi" w:cstheme="majorHAnsi"/>
              </w:rPr>
              <w:t>(</w:t>
            </w:r>
            <w:r>
              <w:rPr>
                <w:rFonts w:asciiTheme="majorHAnsi" w:hAnsiTheme="majorHAnsi" w:cstheme="majorHAnsi"/>
              </w:rPr>
              <w:t>% of</w:t>
            </w:r>
            <w:r w:rsidRPr="003036FE">
              <w:rPr>
                <w:rFonts w:asciiTheme="majorHAnsi" w:hAnsiTheme="majorHAnsi" w:cstheme="majorHAnsi"/>
              </w:rPr>
              <w:t xml:space="preserve"> household market income)</w:t>
            </w:r>
          </w:p>
        </w:tc>
      </w:tr>
      <w:tr w:rsidR="003036FE" w14:paraId="511AE81F" w14:textId="77777777" w:rsidTr="003036FE">
        <w:tc>
          <w:tcPr>
            <w:tcW w:w="9350" w:type="dxa"/>
          </w:tcPr>
          <w:p w14:paraId="2551E069" w14:textId="6E483356" w:rsidR="003036FE" w:rsidRDefault="003036FE" w:rsidP="00877616">
            <w:pPr>
              <w:spacing w:after="120"/>
              <w:jc w:val="both"/>
              <w:rPr>
                <w:rFonts w:asciiTheme="majorHAnsi" w:hAnsiTheme="majorHAnsi" w:cstheme="majorHAnsi"/>
              </w:rPr>
            </w:pPr>
            <w:r>
              <w:rPr>
                <w:noProof/>
              </w:rPr>
              <w:drawing>
                <wp:inline distT="0" distB="0" distL="0" distR="0" wp14:anchorId="62E662A6" wp14:editId="3B63769C">
                  <wp:extent cx="6059347" cy="2417445"/>
                  <wp:effectExtent l="0" t="0" r="0" b="1905"/>
                  <wp:docPr id="1642732574" name="Chart 1642732574">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3036FE" w14:paraId="2DBC35F6" w14:textId="77777777" w:rsidTr="003036FE">
        <w:tc>
          <w:tcPr>
            <w:tcW w:w="9350" w:type="dxa"/>
          </w:tcPr>
          <w:p w14:paraId="1CE839E1" w14:textId="77777777" w:rsidR="003036FE" w:rsidRDefault="003036FE" w:rsidP="003036FE">
            <w:pPr>
              <w:spacing w:after="240"/>
              <w:contextualSpacing/>
              <w:textAlignment w:val="baseline"/>
              <w:rPr>
                <w:rFonts w:asciiTheme="majorHAnsi" w:hAnsiTheme="majorHAnsi" w:cstheme="majorHAnsi"/>
                <w:sz w:val="20"/>
                <w:szCs w:val="20"/>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p w14:paraId="1047CE26" w14:textId="1BB50E8B" w:rsidR="003036FE" w:rsidRDefault="003036FE" w:rsidP="003036FE">
            <w:pPr>
              <w:spacing w:after="120"/>
              <w:jc w:val="both"/>
              <w:rPr>
                <w:rFonts w:asciiTheme="majorHAnsi" w:hAnsiTheme="majorHAnsi" w:cstheme="majorHAnsi"/>
              </w:rPr>
            </w:pPr>
            <w:r>
              <w:rPr>
                <w:rFonts w:asciiTheme="majorHAnsi" w:hAnsiTheme="majorHAnsi" w:cstheme="majorHAnsi"/>
                <w:sz w:val="20"/>
                <w:szCs w:val="20"/>
              </w:rPr>
              <w:t>Note: The quintiles are obtained from the per capita market income distribution.</w:t>
            </w:r>
          </w:p>
        </w:tc>
      </w:tr>
    </w:tbl>
    <w:p w14:paraId="2713A74C" w14:textId="77777777" w:rsidR="003036FE" w:rsidRDefault="003036FE" w:rsidP="003036FE">
      <w:pPr>
        <w:pStyle w:val="Heading2"/>
        <w:numPr>
          <w:ilvl w:val="0"/>
          <w:numId w:val="0"/>
        </w:numPr>
        <w:spacing w:before="0"/>
        <w:ind w:left="576"/>
      </w:pPr>
    </w:p>
    <w:p w14:paraId="7ADB70BB" w14:textId="3EA6FBB8" w:rsidR="001205F9" w:rsidRDefault="001205F9" w:rsidP="00DC7405">
      <w:pPr>
        <w:pStyle w:val="Heading2"/>
        <w:spacing w:after="120"/>
      </w:pPr>
      <w:r w:rsidRPr="001205F9">
        <w:t>Gendered Impacts by Household Typology</w:t>
      </w:r>
    </w:p>
    <w:p w14:paraId="4F80B337" w14:textId="468C7F03" w:rsidR="001205F9" w:rsidRDefault="008D67C9" w:rsidP="001031EC">
      <w:pPr>
        <w:spacing w:after="0"/>
        <w:jc w:val="both"/>
        <w:rPr>
          <w:rFonts w:asciiTheme="majorHAnsi" w:hAnsiTheme="majorHAnsi" w:cstheme="majorHAnsi"/>
        </w:rPr>
      </w:pPr>
      <w:r w:rsidRPr="008D67C9">
        <w:rPr>
          <w:rFonts w:asciiTheme="majorHAnsi" w:hAnsiTheme="majorHAnsi" w:cstheme="majorHAnsi"/>
        </w:rPr>
        <w:t>This section presents a comprehensive fiscal incidence analysis of Peru</w:t>
      </w:r>
      <w:r>
        <w:rPr>
          <w:rFonts w:asciiTheme="majorHAnsi" w:hAnsiTheme="majorHAnsi" w:cstheme="majorHAnsi"/>
        </w:rPr>
        <w:t>’</w:t>
      </w:r>
      <w:r w:rsidRPr="008D67C9">
        <w:rPr>
          <w:rFonts w:asciiTheme="majorHAnsi" w:hAnsiTheme="majorHAnsi" w:cstheme="majorHAnsi"/>
        </w:rPr>
        <w:t xml:space="preserve">s tax and transfer system, examining its impact on poverty and inequality across three household classifications: (i) demographic composition, (ii) presence of dependents with </w:t>
      </w:r>
      <w:r w:rsidR="00AC66CC">
        <w:rPr>
          <w:rFonts w:asciiTheme="majorHAnsi" w:hAnsiTheme="majorHAnsi" w:cstheme="majorHAnsi"/>
        </w:rPr>
        <w:t>intensive</w:t>
      </w:r>
      <w:r w:rsidRPr="008D67C9">
        <w:rPr>
          <w:rFonts w:asciiTheme="majorHAnsi" w:hAnsiTheme="majorHAnsi" w:cstheme="majorHAnsi"/>
        </w:rPr>
        <w:t xml:space="preserve"> care needs, and (iii) </w:t>
      </w:r>
      <w:r w:rsidR="006E7A4B">
        <w:rPr>
          <w:rFonts w:asciiTheme="majorHAnsi" w:hAnsiTheme="majorHAnsi" w:cstheme="majorHAnsi"/>
        </w:rPr>
        <w:t>reliance</w:t>
      </w:r>
      <w:r w:rsidR="006E7A4B" w:rsidRPr="008D67C9">
        <w:rPr>
          <w:rFonts w:asciiTheme="majorHAnsi" w:hAnsiTheme="majorHAnsi" w:cstheme="majorHAnsi"/>
        </w:rPr>
        <w:t xml:space="preserve"> </w:t>
      </w:r>
      <w:r w:rsidRPr="008D67C9">
        <w:rPr>
          <w:rFonts w:asciiTheme="majorHAnsi" w:hAnsiTheme="majorHAnsi" w:cstheme="majorHAnsi"/>
        </w:rPr>
        <w:t>on agriculture</w:t>
      </w:r>
      <w:r w:rsidR="00557D52">
        <w:rPr>
          <w:rFonts w:asciiTheme="majorHAnsi" w:hAnsiTheme="majorHAnsi" w:cstheme="majorHAnsi"/>
        </w:rPr>
        <w:t xml:space="preserve"> as the main source of income</w:t>
      </w:r>
      <w:r w:rsidRPr="008D67C9">
        <w:rPr>
          <w:rFonts w:asciiTheme="majorHAnsi" w:hAnsiTheme="majorHAnsi" w:cstheme="majorHAnsi"/>
        </w:rPr>
        <w:t xml:space="preserve">. For each classification, we analyze </w:t>
      </w:r>
      <w:r w:rsidR="0093693F">
        <w:rPr>
          <w:rFonts w:asciiTheme="majorHAnsi" w:hAnsiTheme="majorHAnsi" w:cstheme="majorHAnsi"/>
        </w:rPr>
        <w:t xml:space="preserve">household </w:t>
      </w:r>
      <w:r w:rsidRPr="008D67C9">
        <w:rPr>
          <w:rFonts w:asciiTheme="majorHAnsi" w:hAnsiTheme="majorHAnsi" w:cstheme="majorHAnsi"/>
        </w:rPr>
        <w:t>poverty rates and inequality measures before and after fiscal interventions, as well as the impacts of specific fiscal instruments. This multifaceted approach reveals the complex interactions between fiscal policy and household characteristics, with particular attention to gender-related aspects.</w:t>
      </w:r>
    </w:p>
    <w:p w14:paraId="431F4811" w14:textId="77777777" w:rsidR="001031EC" w:rsidRDefault="001031EC" w:rsidP="001031EC">
      <w:pPr>
        <w:spacing w:after="0"/>
        <w:jc w:val="both"/>
        <w:rPr>
          <w:rFonts w:asciiTheme="majorHAnsi" w:hAnsiTheme="majorHAnsi" w:cstheme="majorHAnsi"/>
        </w:rPr>
      </w:pPr>
    </w:p>
    <w:p w14:paraId="1768136F" w14:textId="3606A7B5" w:rsidR="001205F9" w:rsidRDefault="001205F9" w:rsidP="001031EC">
      <w:pPr>
        <w:pStyle w:val="Heading3"/>
        <w:spacing w:before="0"/>
      </w:pPr>
      <w:r w:rsidRPr="001205F9">
        <w:t>Demographic Composition</w:t>
      </w:r>
    </w:p>
    <w:p w14:paraId="18EBF2AD" w14:textId="77777777" w:rsidR="001031EC" w:rsidRPr="001031EC" w:rsidRDefault="001031EC" w:rsidP="001031EC">
      <w:pPr>
        <w:spacing w:after="0"/>
      </w:pPr>
    </w:p>
    <w:p w14:paraId="17D59A8B" w14:textId="17D510F8" w:rsidR="000E73CE" w:rsidRDefault="002C6243" w:rsidP="001031EC">
      <w:pPr>
        <w:spacing w:after="0"/>
        <w:jc w:val="both"/>
        <w:rPr>
          <w:rFonts w:asciiTheme="majorHAnsi" w:hAnsiTheme="majorHAnsi" w:cstheme="majorHAnsi"/>
        </w:rPr>
      </w:pPr>
      <w:r w:rsidRPr="002C6243">
        <w:rPr>
          <w:rFonts w:asciiTheme="majorHAnsi" w:hAnsiTheme="majorHAnsi" w:cstheme="majorHAnsi"/>
        </w:rPr>
        <w:t>The analysis reveals a clear pattern: the fiscal system generally increases poverty for households with children, while reducing it for households without children</w:t>
      </w:r>
      <w:r>
        <w:rPr>
          <w:rFonts w:asciiTheme="majorHAnsi" w:hAnsiTheme="majorHAnsi" w:cstheme="majorHAnsi"/>
        </w:rPr>
        <w:t xml:space="preserve"> (</w:t>
      </w:r>
      <w:r w:rsidR="001031EC">
        <w:rPr>
          <w:rFonts w:asciiTheme="majorHAnsi" w:hAnsiTheme="majorHAnsi" w:cstheme="majorHAnsi"/>
        </w:rPr>
        <w:fldChar w:fldCharType="begin"/>
      </w:r>
      <w:r w:rsidR="001031EC">
        <w:rPr>
          <w:rFonts w:asciiTheme="majorHAnsi" w:hAnsiTheme="majorHAnsi" w:cstheme="majorHAnsi"/>
        </w:rPr>
        <w:instrText xml:space="preserve"> REF _Ref175135678 \h </w:instrText>
      </w:r>
      <w:r w:rsidR="001031EC">
        <w:rPr>
          <w:rFonts w:asciiTheme="majorHAnsi" w:hAnsiTheme="majorHAnsi" w:cstheme="majorHAnsi"/>
        </w:rPr>
      </w:r>
      <w:r w:rsidR="001031EC">
        <w:rPr>
          <w:rFonts w:asciiTheme="majorHAnsi" w:hAnsiTheme="majorHAnsi" w:cstheme="majorHAnsi"/>
        </w:rPr>
        <w:fldChar w:fldCharType="separate"/>
      </w:r>
      <w:r w:rsidR="00B71781" w:rsidRPr="001031EC">
        <w:rPr>
          <w:rFonts w:asciiTheme="majorHAnsi" w:hAnsiTheme="majorHAnsi" w:cstheme="majorHAnsi"/>
        </w:rPr>
        <w:t xml:space="preserve">Figure </w:t>
      </w:r>
      <w:r w:rsidR="00B71781">
        <w:rPr>
          <w:rFonts w:asciiTheme="majorHAnsi" w:hAnsiTheme="majorHAnsi" w:cstheme="majorHAnsi"/>
          <w:noProof/>
        </w:rPr>
        <w:t>12</w:t>
      </w:r>
      <w:r w:rsidR="001031EC">
        <w:rPr>
          <w:rFonts w:asciiTheme="majorHAnsi" w:hAnsiTheme="majorHAnsi" w:cstheme="majorHAnsi"/>
        </w:rPr>
        <w:fldChar w:fldCharType="end"/>
      </w:r>
      <w:r w:rsidR="00F957C1">
        <w:rPr>
          <w:rFonts w:asciiTheme="majorHAnsi" w:hAnsiTheme="majorHAnsi" w:cstheme="majorHAnsi"/>
        </w:rPr>
        <w:fldChar w:fldCharType="begin"/>
      </w:r>
      <w:r w:rsidR="00F957C1">
        <w:rPr>
          <w:rFonts w:asciiTheme="majorHAnsi" w:hAnsiTheme="majorHAnsi" w:cstheme="majorHAnsi"/>
        </w:rPr>
        <w:instrText xml:space="preserve"> REF _Ref175135678 \h </w:instrText>
      </w:r>
      <w:r w:rsidR="00F957C1">
        <w:rPr>
          <w:rFonts w:asciiTheme="majorHAnsi" w:hAnsiTheme="majorHAnsi" w:cstheme="majorHAnsi"/>
        </w:rPr>
      </w:r>
      <w:r w:rsidR="00F957C1">
        <w:rPr>
          <w:rFonts w:asciiTheme="majorHAnsi" w:hAnsiTheme="majorHAnsi" w:cstheme="majorHAnsi"/>
        </w:rPr>
        <w:fldChar w:fldCharType="separate"/>
      </w:r>
      <w:r w:rsidR="00B71781" w:rsidRPr="001031EC">
        <w:rPr>
          <w:rFonts w:asciiTheme="majorHAnsi" w:hAnsiTheme="majorHAnsi" w:cstheme="majorHAnsi"/>
        </w:rPr>
        <w:t xml:space="preserve">Figure </w:t>
      </w:r>
      <w:r w:rsidR="00B71781">
        <w:rPr>
          <w:rFonts w:asciiTheme="majorHAnsi" w:hAnsiTheme="majorHAnsi" w:cstheme="majorHAnsi"/>
          <w:noProof/>
        </w:rPr>
        <w:t>12</w:t>
      </w:r>
      <w:r w:rsidR="00F957C1">
        <w:rPr>
          <w:rFonts w:asciiTheme="majorHAnsi" w:hAnsiTheme="majorHAnsi" w:cstheme="majorHAnsi"/>
        </w:rPr>
        <w:fldChar w:fldCharType="end"/>
      </w:r>
      <w:r w:rsidR="00927913">
        <w:rPr>
          <w:rFonts w:asciiTheme="majorHAnsi" w:hAnsiTheme="majorHAnsi" w:cstheme="majorHAnsi"/>
        </w:rPr>
        <w:t>)</w:t>
      </w:r>
      <w:r w:rsidR="00FC432A" w:rsidRPr="00FC432A">
        <w:rPr>
          <w:rFonts w:asciiTheme="majorHAnsi" w:hAnsiTheme="majorHAnsi" w:cstheme="majorHAnsi"/>
        </w:rPr>
        <w:t xml:space="preserve">. The fiscal system increases poverty for most household types, </w:t>
      </w:r>
      <w:r w:rsidR="00890E25" w:rsidRPr="00FC432A">
        <w:rPr>
          <w:rFonts w:asciiTheme="majorHAnsi" w:hAnsiTheme="majorHAnsi" w:cstheme="majorHAnsi"/>
        </w:rPr>
        <w:t>except for</w:t>
      </w:r>
      <w:r w:rsidR="00FC432A" w:rsidRPr="00FC432A">
        <w:rPr>
          <w:rFonts w:asciiTheme="majorHAnsi" w:hAnsiTheme="majorHAnsi" w:cstheme="majorHAnsi"/>
        </w:rPr>
        <w:t xml:space="preserve"> elderly households and single adult households. </w:t>
      </w:r>
      <w:r w:rsidR="000E73CE" w:rsidRPr="000E73CE">
        <w:rPr>
          <w:rFonts w:asciiTheme="majorHAnsi" w:hAnsiTheme="majorHAnsi" w:cstheme="majorHAnsi"/>
        </w:rPr>
        <w:t xml:space="preserve">Nuclear </w:t>
      </w:r>
      <w:r w:rsidR="000E73CE" w:rsidRPr="000E73CE">
        <w:rPr>
          <w:rFonts w:asciiTheme="majorHAnsi" w:hAnsiTheme="majorHAnsi" w:cstheme="majorHAnsi"/>
        </w:rPr>
        <w:lastRenderedPageBreak/>
        <w:t>families with children experience the most substantial poverty increase, from 32.9</w:t>
      </w:r>
      <w:r w:rsidR="000E73CE">
        <w:rPr>
          <w:rFonts w:asciiTheme="majorHAnsi" w:hAnsiTheme="majorHAnsi" w:cstheme="majorHAnsi"/>
        </w:rPr>
        <w:t xml:space="preserve"> percent</w:t>
      </w:r>
      <w:r w:rsidR="000E73CE" w:rsidRPr="000E73CE">
        <w:rPr>
          <w:rFonts w:asciiTheme="majorHAnsi" w:hAnsiTheme="majorHAnsi" w:cstheme="majorHAnsi"/>
        </w:rPr>
        <w:t xml:space="preserve"> pre-fiscal to 35.1</w:t>
      </w:r>
      <w:r w:rsidR="000E73CE">
        <w:rPr>
          <w:rFonts w:asciiTheme="majorHAnsi" w:hAnsiTheme="majorHAnsi" w:cstheme="majorHAnsi"/>
        </w:rPr>
        <w:t xml:space="preserve"> percent</w:t>
      </w:r>
      <w:r w:rsidR="000E73CE" w:rsidRPr="000E73CE">
        <w:rPr>
          <w:rFonts w:asciiTheme="majorHAnsi" w:hAnsiTheme="majorHAnsi" w:cstheme="majorHAnsi"/>
        </w:rPr>
        <w:t xml:space="preserve"> post-fiscal, a 2.2 percentage point rise. Extended nuclear families follow closely, with poverty rates increasing from 20.0</w:t>
      </w:r>
      <w:r w:rsidR="000E73CE">
        <w:rPr>
          <w:rFonts w:asciiTheme="majorHAnsi" w:hAnsiTheme="majorHAnsi" w:cstheme="majorHAnsi"/>
        </w:rPr>
        <w:t xml:space="preserve"> percent</w:t>
      </w:r>
      <w:r w:rsidR="000E73CE" w:rsidRPr="000E73CE">
        <w:rPr>
          <w:rFonts w:asciiTheme="majorHAnsi" w:hAnsiTheme="majorHAnsi" w:cstheme="majorHAnsi"/>
        </w:rPr>
        <w:t xml:space="preserve"> to 22.9</w:t>
      </w:r>
      <w:r w:rsidR="000E73CE">
        <w:rPr>
          <w:rFonts w:asciiTheme="majorHAnsi" w:hAnsiTheme="majorHAnsi" w:cstheme="majorHAnsi"/>
        </w:rPr>
        <w:t xml:space="preserve"> percent</w:t>
      </w:r>
      <w:r w:rsidR="000E73CE" w:rsidRPr="000E73CE">
        <w:rPr>
          <w:rFonts w:asciiTheme="majorHAnsi" w:hAnsiTheme="majorHAnsi" w:cstheme="majorHAnsi"/>
        </w:rPr>
        <w:t>. This trend suggests that the current fiscal system places a disproportionate burden on families with children, potentially exacerbating their economic vulnerabilities.</w:t>
      </w:r>
    </w:p>
    <w:p w14:paraId="6403B97B" w14:textId="161116DA" w:rsidR="00FC432A" w:rsidRDefault="000E73CE" w:rsidP="001031EC">
      <w:pPr>
        <w:spacing w:after="0"/>
        <w:jc w:val="both"/>
        <w:rPr>
          <w:rFonts w:asciiTheme="majorHAnsi" w:hAnsiTheme="majorHAnsi" w:cstheme="majorHAnsi"/>
        </w:rPr>
      </w:pPr>
      <w:r w:rsidRPr="000E73CE">
        <w:rPr>
          <w:rFonts w:asciiTheme="majorHAnsi" w:hAnsiTheme="majorHAnsi" w:cstheme="majorHAnsi"/>
        </w:rPr>
        <w:t>Interestingly, single mother households, despite starting with a high pre-fiscal poverty rate of 33.0</w:t>
      </w:r>
      <w:r w:rsidR="0089091F">
        <w:rPr>
          <w:rFonts w:asciiTheme="majorHAnsi" w:hAnsiTheme="majorHAnsi" w:cstheme="majorHAnsi"/>
        </w:rPr>
        <w:t xml:space="preserve"> percent</w:t>
      </w:r>
      <w:r w:rsidRPr="000E73CE">
        <w:rPr>
          <w:rFonts w:asciiTheme="majorHAnsi" w:hAnsiTheme="majorHAnsi" w:cstheme="majorHAnsi"/>
        </w:rPr>
        <w:t>, see only a marginal increase to 33.4</w:t>
      </w:r>
      <w:r w:rsidR="0089091F">
        <w:rPr>
          <w:rFonts w:asciiTheme="majorHAnsi" w:hAnsiTheme="majorHAnsi" w:cstheme="majorHAnsi"/>
        </w:rPr>
        <w:t xml:space="preserve"> percent</w:t>
      </w:r>
      <w:r w:rsidRPr="000E73CE">
        <w:rPr>
          <w:rFonts w:asciiTheme="majorHAnsi" w:hAnsiTheme="majorHAnsi" w:cstheme="majorHAnsi"/>
        </w:rPr>
        <w:t xml:space="preserve"> post-fiscal. This relative stability, compared to other household types with children, may indicate that existing targeted support programs for single mothers partially offset the regressive effects of the broader fiscal system.</w:t>
      </w:r>
      <w:r w:rsidR="00BE7913" w:rsidRPr="00BE7913">
        <w:t xml:space="preserve"> </w:t>
      </w:r>
      <w:r w:rsidR="00BE7913" w:rsidRPr="00BE7913">
        <w:rPr>
          <w:rFonts w:asciiTheme="majorHAnsi" w:hAnsiTheme="majorHAnsi" w:cstheme="majorHAnsi"/>
        </w:rPr>
        <w:t>In contrast, elderly households and single adult households without children are the only groups experiencing poverty reduction. Their poverty rates decrease from 26.4</w:t>
      </w:r>
      <w:r w:rsidR="00BE7913">
        <w:rPr>
          <w:rFonts w:asciiTheme="majorHAnsi" w:hAnsiTheme="majorHAnsi" w:cstheme="majorHAnsi"/>
        </w:rPr>
        <w:t xml:space="preserve"> percent</w:t>
      </w:r>
      <w:r w:rsidR="00BE7913" w:rsidRPr="00BE7913">
        <w:rPr>
          <w:rFonts w:asciiTheme="majorHAnsi" w:hAnsiTheme="majorHAnsi" w:cstheme="majorHAnsi"/>
        </w:rPr>
        <w:t xml:space="preserve"> to 18.1</w:t>
      </w:r>
      <w:r w:rsidR="00BE7913">
        <w:rPr>
          <w:rFonts w:asciiTheme="majorHAnsi" w:hAnsiTheme="majorHAnsi" w:cstheme="majorHAnsi"/>
        </w:rPr>
        <w:t xml:space="preserve"> percent</w:t>
      </w:r>
      <w:r w:rsidR="00BE7913" w:rsidRPr="00BE7913">
        <w:rPr>
          <w:rFonts w:asciiTheme="majorHAnsi" w:hAnsiTheme="majorHAnsi" w:cstheme="majorHAnsi"/>
        </w:rPr>
        <w:t xml:space="preserve"> and from 13.5</w:t>
      </w:r>
      <w:r w:rsidR="00BE7913">
        <w:rPr>
          <w:rFonts w:asciiTheme="majorHAnsi" w:hAnsiTheme="majorHAnsi" w:cstheme="majorHAnsi"/>
        </w:rPr>
        <w:t xml:space="preserve"> percent</w:t>
      </w:r>
      <w:r w:rsidR="00BE7913" w:rsidRPr="00BE7913">
        <w:rPr>
          <w:rFonts w:asciiTheme="majorHAnsi" w:hAnsiTheme="majorHAnsi" w:cstheme="majorHAnsi"/>
        </w:rPr>
        <w:t xml:space="preserve"> to 12.2</w:t>
      </w:r>
      <w:r w:rsidR="00BE7913">
        <w:rPr>
          <w:rFonts w:asciiTheme="majorHAnsi" w:hAnsiTheme="majorHAnsi" w:cstheme="majorHAnsi"/>
        </w:rPr>
        <w:t xml:space="preserve"> percent</w:t>
      </w:r>
      <w:r w:rsidR="00BE7913" w:rsidRPr="00BE7913">
        <w:rPr>
          <w:rFonts w:asciiTheme="majorHAnsi" w:hAnsiTheme="majorHAnsi" w:cstheme="majorHAnsi"/>
        </w:rPr>
        <w:t>, respectively. This divergence highlights the fiscal system</w:t>
      </w:r>
      <w:r w:rsidR="00BE7913">
        <w:rPr>
          <w:rFonts w:asciiTheme="majorHAnsi" w:hAnsiTheme="majorHAnsi" w:cstheme="majorHAnsi"/>
        </w:rPr>
        <w:t>’</w:t>
      </w:r>
      <w:r w:rsidR="00BE7913" w:rsidRPr="00BE7913">
        <w:rPr>
          <w:rFonts w:asciiTheme="majorHAnsi" w:hAnsiTheme="majorHAnsi" w:cstheme="majorHAnsi"/>
        </w:rPr>
        <w:t>s higher effectiveness in alleviating poverty for households without children, raising questions about the adequacy of support for families with dependents.</w:t>
      </w:r>
    </w:p>
    <w:p w14:paraId="5E5D6892" w14:textId="77777777" w:rsidR="001031EC" w:rsidRDefault="001031EC" w:rsidP="001031EC">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9350"/>
      </w:tblGrid>
      <w:tr w:rsidR="00C046D4" w14:paraId="7BBC9CF9" w14:textId="77777777" w:rsidTr="00C046D4">
        <w:tc>
          <w:tcPr>
            <w:tcW w:w="9350" w:type="dxa"/>
          </w:tcPr>
          <w:p w14:paraId="6346FC48" w14:textId="5F419DDF" w:rsidR="00C046D4" w:rsidRPr="001031EC" w:rsidRDefault="00C046D4" w:rsidP="001031EC">
            <w:pPr>
              <w:spacing w:line="259" w:lineRule="auto"/>
              <w:jc w:val="both"/>
              <w:rPr>
                <w:rFonts w:asciiTheme="majorHAnsi" w:hAnsiTheme="majorHAnsi" w:cstheme="majorHAnsi"/>
              </w:rPr>
            </w:pPr>
            <w:bookmarkStart w:id="13" w:name="_Ref175135678"/>
            <w:r w:rsidRPr="001031EC">
              <w:rPr>
                <w:rFonts w:asciiTheme="majorHAnsi" w:hAnsiTheme="majorHAnsi" w:cstheme="majorHAnsi"/>
              </w:rPr>
              <w:t xml:space="preserve">Figure </w:t>
            </w:r>
            <w:r w:rsidRPr="001031EC">
              <w:rPr>
                <w:rFonts w:asciiTheme="majorHAnsi" w:hAnsiTheme="majorHAnsi" w:cstheme="majorHAnsi"/>
              </w:rPr>
              <w:fldChar w:fldCharType="begin"/>
            </w:r>
            <w:r w:rsidRPr="001031EC">
              <w:rPr>
                <w:rFonts w:asciiTheme="majorHAnsi" w:hAnsiTheme="majorHAnsi" w:cstheme="majorHAnsi"/>
              </w:rPr>
              <w:instrText xml:space="preserve"> SEQ Figure \* ARABIC </w:instrText>
            </w:r>
            <w:r w:rsidRPr="001031EC">
              <w:rPr>
                <w:rFonts w:asciiTheme="majorHAnsi" w:hAnsiTheme="majorHAnsi" w:cstheme="majorHAnsi"/>
              </w:rPr>
              <w:fldChar w:fldCharType="separate"/>
            </w:r>
            <w:r w:rsidR="00B71781">
              <w:rPr>
                <w:rFonts w:asciiTheme="majorHAnsi" w:hAnsiTheme="majorHAnsi" w:cstheme="majorHAnsi"/>
                <w:noProof/>
              </w:rPr>
              <w:t>12</w:t>
            </w:r>
            <w:r w:rsidRPr="001031EC">
              <w:rPr>
                <w:rFonts w:asciiTheme="majorHAnsi" w:hAnsiTheme="majorHAnsi" w:cstheme="majorHAnsi"/>
              </w:rPr>
              <w:fldChar w:fldCharType="end"/>
            </w:r>
            <w:bookmarkEnd w:id="13"/>
            <w:r w:rsidRPr="001031EC">
              <w:rPr>
                <w:rFonts w:asciiTheme="majorHAnsi" w:hAnsiTheme="majorHAnsi" w:cstheme="majorHAnsi"/>
              </w:rPr>
              <w:t>. Pre-fiscal and post-fiscal poverty rates by demographic household type</w:t>
            </w:r>
          </w:p>
          <w:p w14:paraId="5DB4CA2A" w14:textId="35493FBB" w:rsidR="00C046D4" w:rsidRDefault="00C046D4" w:rsidP="001031EC">
            <w:pPr>
              <w:spacing w:line="259" w:lineRule="auto"/>
              <w:jc w:val="both"/>
              <w:rPr>
                <w:rFonts w:asciiTheme="majorHAnsi" w:hAnsiTheme="majorHAnsi" w:cstheme="majorHAnsi"/>
              </w:rPr>
            </w:pPr>
            <w:r w:rsidRPr="001031EC">
              <w:rPr>
                <w:rFonts w:asciiTheme="majorHAnsi" w:hAnsiTheme="majorHAnsi" w:cstheme="majorHAnsi"/>
              </w:rPr>
              <w:t>(Headcount poverty rate using national poverty line)</w:t>
            </w:r>
          </w:p>
        </w:tc>
      </w:tr>
      <w:tr w:rsidR="00C046D4" w14:paraId="3D8FDCBA" w14:textId="77777777" w:rsidTr="00C046D4">
        <w:tc>
          <w:tcPr>
            <w:tcW w:w="9350" w:type="dxa"/>
          </w:tcPr>
          <w:p w14:paraId="0DDEF5FE" w14:textId="651BC585" w:rsidR="00C046D4" w:rsidRDefault="00C046D4" w:rsidP="00C046D4">
            <w:pPr>
              <w:spacing w:after="120"/>
              <w:jc w:val="both"/>
              <w:rPr>
                <w:rFonts w:asciiTheme="majorHAnsi" w:hAnsiTheme="majorHAnsi" w:cstheme="majorHAnsi"/>
              </w:rPr>
            </w:pPr>
            <w:r w:rsidRPr="00137D81">
              <w:rPr>
                <w:rFonts w:asciiTheme="majorHAnsi" w:hAnsiTheme="majorHAnsi" w:cstheme="majorHAnsi"/>
                <w:noProof/>
              </w:rPr>
              <w:drawing>
                <wp:inline distT="0" distB="0" distL="0" distR="0" wp14:anchorId="7575721B" wp14:editId="0D1B3B8D">
                  <wp:extent cx="5984111" cy="3143250"/>
                  <wp:effectExtent l="0" t="0" r="0" b="0"/>
                  <wp:docPr id="15" name="Chart 15">
                    <a:extLst xmlns:a="http://schemas.openxmlformats.org/drawingml/2006/main">
                      <a:ext uri="{FF2B5EF4-FFF2-40B4-BE49-F238E27FC236}">
                        <a16:creationId xmlns:a16="http://schemas.microsoft.com/office/drawing/2014/main" id="{A0152D58-7450-40D5-B487-68B7E0D854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C046D4" w14:paraId="333C24A3" w14:textId="77777777" w:rsidTr="00C046D4">
        <w:tc>
          <w:tcPr>
            <w:tcW w:w="9350" w:type="dxa"/>
          </w:tcPr>
          <w:p w14:paraId="5313A209" w14:textId="606253DA" w:rsidR="00C046D4" w:rsidRDefault="00C046D4" w:rsidP="00C046D4">
            <w:pPr>
              <w:spacing w:after="120"/>
              <w:jc w:val="both"/>
              <w:rPr>
                <w:rFonts w:asciiTheme="majorHAnsi" w:hAnsiTheme="majorHAnsi" w:cstheme="majorHAnsi"/>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566BD60B" w14:textId="77777777" w:rsidR="00D9797C" w:rsidRDefault="00D9797C" w:rsidP="00290D56">
      <w:pPr>
        <w:spacing w:after="0"/>
        <w:jc w:val="both"/>
        <w:rPr>
          <w:rFonts w:asciiTheme="majorHAnsi" w:hAnsiTheme="majorHAnsi" w:cstheme="majorHAnsi"/>
        </w:rPr>
      </w:pPr>
    </w:p>
    <w:p w14:paraId="7A245F0B" w14:textId="1B2A435B" w:rsidR="00E3775A" w:rsidRDefault="00E3775A" w:rsidP="00290D56">
      <w:pPr>
        <w:spacing w:after="0"/>
        <w:jc w:val="both"/>
        <w:rPr>
          <w:rFonts w:asciiTheme="majorHAnsi" w:hAnsiTheme="majorHAnsi" w:cstheme="majorHAnsi"/>
        </w:rPr>
      </w:pPr>
      <w:r w:rsidRPr="00E3775A">
        <w:rPr>
          <w:rFonts w:asciiTheme="majorHAnsi" w:hAnsiTheme="majorHAnsi" w:cstheme="majorHAnsi"/>
        </w:rPr>
        <w:t>While the fiscal system increases poverty for most household types, it consistently reduces inequality across all categories</w:t>
      </w:r>
      <w:r>
        <w:rPr>
          <w:rFonts w:asciiTheme="majorHAnsi" w:hAnsiTheme="majorHAnsi" w:cstheme="majorHAnsi"/>
        </w:rPr>
        <w:t xml:space="preserve"> (</w:t>
      </w:r>
      <w:r w:rsidR="003C1316">
        <w:rPr>
          <w:rFonts w:asciiTheme="majorHAnsi" w:hAnsiTheme="majorHAnsi" w:cstheme="majorHAnsi"/>
        </w:rPr>
        <w:fldChar w:fldCharType="begin"/>
      </w:r>
      <w:r w:rsidR="003C1316">
        <w:rPr>
          <w:rFonts w:asciiTheme="majorHAnsi" w:hAnsiTheme="majorHAnsi" w:cstheme="majorHAnsi"/>
        </w:rPr>
        <w:instrText xml:space="preserve"> REF _Ref175135878 \h </w:instrText>
      </w:r>
      <w:r w:rsidR="003C1316">
        <w:rPr>
          <w:rFonts w:asciiTheme="majorHAnsi" w:hAnsiTheme="majorHAnsi" w:cstheme="majorHAnsi"/>
        </w:rPr>
      </w:r>
      <w:r w:rsidR="003C1316">
        <w:rPr>
          <w:rFonts w:asciiTheme="majorHAnsi" w:hAnsiTheme="majorHAnsi" w:cstheme="majorHAnsi"/>
        </w:rPr>
        <w:fldChar w:fldCharType="separate"/>
      </w:r>
      <w:r w:rsidR="00B71781" w:rsidRPr="00943132">
        <w:rPr>
          <w:rFonts w:asciiTheme="majorHAnsi" w:hAnsiTheme="majorHAnsi" w:cstheme="majorHAnsi"/>
        </w:rPr>
        <w:t xml:space="preserve">Figure </w:t>
      </w:r>
      <w:r w:rsidR="00B71781">
        <w:rPr>
          <w:rFonts w:asciiTheme="majorHAnsi" w:hAnsiTheme="majorHAnsi" w:cstheme="majorHAnsi"/>
          <w:noProof/>
        </w:rPr>
        <w:t>13</w:t>
      </w:r>
      <w:r w:rsidR="003C1316">
        <w:rPr>
          <w:rFonts w:asciiTheme="majorHAnsi" w:hAnsiTheme="majorHAnsi" w:cstheme="majorHAnsi"/>
        </w:rPr>
        <w:fldChar w:fldCharType="end"/>
      </w:r>
      <w:r>
        <w:rPr>
          <w:rFonts w:asciiTheme="majorHAnsi" w:hAnsiTheme="majorHAnsi" w:cstheme="majorHAnsi"/>
        </w:rPr>
        <w:t>)</w:t>
      </w:r>
      <w:r w:rsidRPr="00E3775A">
        <w:rPr>
          <w:rFonts w:asciiTheme="majorHAnsi" w:hAnsiTheme="majorHAnsi" w:cstheme="majorHAnsi"/>
        </w:rPr>
        <w:t>. However, the magnitude of this reduction varies significantly.</w:t>
      </w:r>
      <w:r>
        <w:rPr>
          <w:rFonts w:asciiTheme="majorHAnsi" w:hAnsiTheme="majorHAnsi" w:cstheme="majorHAnsi"/>
        </w:rPr>
        <w:t xml:space="preserve"> </w:t>
      </w:r>
      <w:r w:rsidRPr="00E3775A">
        <w:rPr>
          <w:rFonts w:asciiTheme="majorHAnsi" w:hAnsiTheme="majorHAnsi" w:cstheme="majorHAnsi"/>
        </w:rPr>
        <w:t>Elderly households exhibit the most substantial reduction in inequality, with the Gini coefficient decreasing from 53.4 to 49.1, a 4.3-point drop. This large reduction likely stems from the progressive nature of social pension programs, which have a particularly strong impact on this demographic.</w:t>
      </w:r>
      <w:r>
        <w:rPr>
          <w:rFonts w:asciiTheme="majorHAnsi" w:hAnsiTheme="majorHAnsi" w:cstheme="majorHAnsi"/>
        </w:rPr>
        <w:t xml:space="preserve"> </w:t>
      </w:r>
      <w:r w:rsidRPr="00E3775A">
        <w:rPr>
          <w:rFonts w:asciiTheme="majorHAnsi" w:hAnsiTheme="majorHAnsi" w:cstheme="majorHAnsi"/>
        </w:rPr>
        <w:t>Nuclear families and extended nuclear families, despite experiencing increased poverty rates, see modest reductions in inequality of 1.9 and 1.1 Gini points, respectively. This result suggests that while the fiscal system may push more of these households into poverty, it also compresses the income distribution within these groups.</w:t>
      </w:r>
    </w:p>
    <w:p w14:paraId="5966136D" w14:textId="77777777" w:rsidR="00B724DC" w:rsidRDefault="00B724DC" w:rsidP="00DC7405">
      <w:pPr>
        <w:spacing w:after="12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9306"/>
      </w:tblGrid>
      <w:tr w:rsidR="00B724DC" w14:paraId="58F5A04E" w14:textId="77777777" w:rsidTr="002228CA">
        <w:trPr>
          <w:trHeight w:val="527"/>
        </w:trPr>
        <w:tc>
          <w:tcPr>
            <w:tcW w:w="9092" w:type="dxa"/>
          </w:tcPr>
          <w:p w14:paraId="720F9000" w14:textId="2F0C8CFB" w:rsidR="001D3965" w:rsidRDefault="001D3965" w:rsidP="00943132">
            <w:pPr>
              <w:jc w:val="both"/>
              <w:rPr>
                <w:rFonts w:asciiTheme="majorHAnsi" w:hAnsiTheme="majorHAnsi" w:cstheme="majorHAnsi"/>
              </w:rPr>
            </w:pPr>
            <w:bookmarkStart w:id="14" w:name="_Ref175135878"/>
            <w:r w:rsidRPr="00943132">
              <w:rPr>
                <w:rFonts w:asciiTheme="majorHAnsi" w:hAnsiTheme="majorHAnsi" w:cstheme="majorHAnsi"/>
              </w:rPr>
              <w:lastRenderedPageBreak/>
              <w:t xml:space="preserve">Figure </w:t>
            </w:r>
            <w:r w:rsidRPr="00943132">
              <w:rPr>
                <w:rFonts w:asciiTheme="majorHAnsi" w:hAnsiTheme="majorHAnsi" w:cstheme="majorHAnsi"/>
              </w:rPr>
              <w:fldChar w:fldCharType="begin"/>
            </w:r>
            <w:r w:rsidRPr="00943132">
              <w:rPr>
                <w:rFonts w:asciiTheme="majorHAnsi" w:hAnsiTheme="majorHAnsi" w:cstheme="majorHAnsi"/>
              </w:rPr>
              <w:instrText xml:space="preserve"> SEQ Figure \* ARABIC </w:instrText>
            </w:r>
            <w:r w:rsidRPr="00943132">
              <w:rPr>
                <w:rFonts w:asciiTheme="majorHAnsi" w:hAnsiTheme="majorHAnsi" w:cstheme="majorHAnsi"/>
              </w:rPr>
              <w:fldChar w:fldCharType="separate"/>
            </w:r>
            <w:r w:rsidR="00B71781">
              <w:rPr>
                <w:rFonts w:asciiTheme="majorHAnsi" w:hAnsiTheme="majorHAnsi" w:cstheme="majorHAnsi"/>
                <w:noProof/>
              </w:rPr>
              <w:t>13</w:t>
            </w:r>
            <w:r w:rsidRPr="00943132">
              <w:rPr>
                <w:rFonts w:asciiTheme="majorHAnsi" w:hAnsiTheme="majorHAnsi" w:cstheme="majorHAnsi"/>
              </w:rPr>
              <w:fldChar w:fldCharType="end"/>
            </w:r>
            <w:bookmarkEnd w:id="14"/>
            <w:r w:rsidRPr="000A1880">
              <w:rPr>
                <w:rFonts w:asciiTheme="majorHAnsi" w:hAnsiTheme="majorHAnsi" w:cstheme="majorHAnsi"/>
              </w:rPr>
              <w:t>.</w:t>
            </w:r>
            <w:r w:rsidRPr="00BD3182">
              <w:rPr>
                <w:rFonts w:asciiTheme="majorHAnsi" w:hAnsiTheme="majorHAnsi" w:cstheme="majorHAnsi"/>
              </w:rPr>
              <w:t xml:space="preserve"> Pre-fiscal and post-fiscal </w:t>
            </w:r>
            <w:r>
              <w:rPr>
                <w:rFonts w:asciiTheme="majorHAnsi" w:hAnsiTheme="majorHAnsi" w:cstheme="majorHAnsi"/>
              </w:rPr>
              <w:t>Gini coefficients</w:t>
            </w:r>
            <w:r w:rsidRPr="00BD3182">
              <w:rPr>
                <w:rFonts w:asciiTheme="majorHAnsi" w:hAnsiTheme="majorHAnsi" w:cstheme="majorHAnsi"/>
              </w:rPr>
              <w:t xml:space="preserve"> rates by demographic household type</w:t>
            </w:r>
          </w:p>
          <w:p w14:paraId="2C79D538" w14:textId="5A1433BA" w:rsidR="00B724DC" w:rsidRDefault="001D3965" w:rsidP="00943132">
            <w:pPr>
              <w:spacing w:line="259" w:lineRule="auto"/>
              <w:jc w:val="both"/>
              <w:rPr>
                <w:rFonts w:asciiTheme="majorHAnsi" w:hAnsiTheme="majorHAnsi" w:cstheme="majorHAnsi"/>
              </w:rPr>
            </w:pPr>
            <w:r w:rsidRPr="00943132">
              <w:rPr>
                <w:rFonts w:asciiTheme="majorHAnsi" w:hAnsiTheme="majorHAnsi" w:cstheme="majorHAnsi"/>
              </w:rPr>
              <w:t>(Gini Index)</w:t>
            </w:r>
          </w:p>
        </w:tc>
      </w:tr>
      <w:tr w:rsidR="00B724DC" w14:paraId="2A657023" w14:textId="77777777" w:rsidTr="002228CA">
        <w:trPr>
          <w:trHeight w:val="5117"/>
        </w:trPr>
        <w:tc>
          <w:tcPr>
            <w:tcW w:w="9092" w:type="dxa"/>
          </w:tcPr>
          <w:p w14:paraId="6213BDCE" w14:textId="6E7AC731" w:rsidR="00B724DC" w:rsidRDefault="001D3965" w:rsidP="00DC7405">
            <w:pPr>
              <w:spacing w:after="120"/>
              <w:jc w:val="both"/>
              <w:rPr>
                <w:rFonts w:asciiTheme="majorHAnsi" w:hAnsiTheme="majorHAnsi" w:cstheme="majorHAnsi"/>
              </w:rPr>
            </w:pPr>
            <w:r>
              <w:rPr>
                <w:noProof/>
              </w:rPr>
              <w:drawing>
                <wp:inline distT="0" distB="0" distL="0" distR="0" wp14:anchorId="7738A1A7" wp14:editId="6190F84F">
                  <wp:extent cx="5771072" cy="3269411"/>
                  <wp:effectExtent l="0" t="0" r="1270" b="7620"/>
                  <wp:docPr id="17" name="Chart 17">
                    <a:extLst xmlns:a="http://schemas.openxmlformats.org/drawingml/2006/main">
                      <a:ext uri="{FF2B5EF4-FFF2-40B4-BE49-F238E27FC236}">
                        <a16:creationId xmlns:a16="http://schemas.microsoft.com/office/drawing/2014/main" id="{A70E207E-A71E-4206-8525-A0DF3417C6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rsidR="00B724DC" w14:paraId="5CB3CB9A" w14:textId="77777777" w:rsidTr="002228CA">
        <w:trPr>
          <w:trHeight w:val="334"/>
        </w:trPr>
        <w:tc>
          <w:tcPr>
            <w:tcW w:w="9092" w:type="dxa"/>
          </w:tcPr>
          <w:p w14:paraId="108BC290" w14:textId="5DAC6BD2" w:rsidR="00B724DC" w:rsidRDefault="001D3965" w:rsidP="00DC7405">
            <w:pPr>
              <w:spacing w:after="120"/>
              <w:jc w:val="both"/>
              <w:rPr>
                <w:rFonts w:asciiTheme="majorHAnsi" w:hAnsiTheme="majorHAnsi" w:cstheme="majorHAnsi"/>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046D51E6" w14:textId="77777777" w:rsidR="00B724DC" w:rsidRDefault="00B724DC" w:rsidP="00290D56">
      <w:pPr>
        <w:spacing w:after="0"/>
        <w:jc w:val="both"/>
        <w:rPr>
          <w:rFonts w:asciiTheme="majorHAnsi" w:hAnsiTheme="majorHAnsi" w:cstheme="majorHAnsi"/>
        </w:rPr>
      </w:pPr>
    </w:p>
    <w:p w14:paraId="5BA02260" w14:textId="54FEC970" w:rsidR="006C2C21" w:rsidRDefault="006C2C21" w:rsidP="00290D56">
      <w:pPr>
        <w:spacing w:after="0"/>
        <w:jc w:val="both"/>
        <w:rPr>
          <w:rFonts w:asciiTheme="majorHAnsi" w:hAnsiTheme="majorHAnsi" w:cstheme="majorHAnsi"/>
        </w:rPr>
      </w:pPr>
      <w:r w:rsidRPr="006C2C21">
        <w:rPr>
          <w:rFonts w:asciiTheme="majorHAnsi" w:hAnsiTheme="majorHAnsi" w:cstheme="majorHAnsi"/>
        </w:rPr>
        <w:t xml:space="preserve">To understand the drivers behind these poverty and inequality trends, we decompose the impact of various fiscal instruments on each household type </w:t>
      </w:r>
      <w:r w:rsidR="00BD36E9">
        <w:rPr>
          <w:rFonts w:asciiTheme="majorHAnsi" w:hAnsiTheme="majorHAnsi" w:cstheme="majorHAnsi"/>
        </w:rPr>
        <w:t>(</w:t>
      </w:r>
      <w:r w:rsidR="00793650">
        <w:rPr>
          <w:rFonts w:asciiTheme="majorHAnsi" w:hAnsiTheme="majorHAnsi" w:cstheme="majorHAnsi"/>
        </w:rPr>
        <w:fldChar w:fldCharType="begin"/>
      </w:r>
      <w:r w:rsidR="00793650">
        <w:rPr>
          <w:rFonts w:asciiTheme="majorHAnsi" w:hAnsiTheme="majorHAnsi" w:cstheme="majorHAnsi"/>
        </w:rPr>
        <w:instrText xml:space="preserve"> REF _Ref175136183 \h  \* MERGEFORMAT </w:instrText>
      </w:r>
      <w:r w:rsidR="00793650">
        <w:rPr>
          <w:rFonts w:asciiTheme="majorHAnsi" w:hAnsiTheme="majorHAnsi" w:cstheme="majorHAnsi"/>
        </w:rPr>
      </w:r>
      <w:r w:rsidR="00793650">
        <w:rPr>
          <w:rFonts w:asciiTheme="majorHAnsi" w:hAnsiTheme="majorHAnsi" w:cstheme="majorHAnsi"/>
        </w:rPr>
        <w:fldChar w:fldCharType="separate"/>
      </w:r>
      <w:r w:rsidR="00B71781" w:rsidRPr="00793650">
        <w:rPr>
          <w:rFonts w:asciiTheme="majorHAnsi" w:hAnsiTheme="majorHAnsi" w:cstheme="majorHAnsi"/>
        </w:rPr>
        <w:t xml:space="preserve">Figure </w:t>
      </w:r>
      <w:r w:rsidR="00B71781">
        <w:rPr>
          <w:rFonts w:asciiTheme="majorHAnsi" w:hAnsiTheme="majorHAnsi" w:cstheme="majorHAnsi"/>
        </w:rPr>
        <w:t>14</w:t>
      </w:r>
      <w:r w:rsidR="00793650">
        <w:rPr>
          <w:rFonts w:asciiTheme="majorHAnsi" w:hAnsiTheme="majorHAnsi" w:cstheme="majorHAnsi"/>
        </w:rPr>
        <w:fldChar w:fldCharType="end"/>
      </w:r>
      <w:r w:rsidR="00BD36E9">
        <w:rPr>
          <w:rFonts w:asciiTheme="majorHAnsi" w:hAnsiTheme="majorHAnsi" w:cstheme="majorHAnsi"/>
        </w:rPr>
        <w:t>)</w:t>
      </w:r>
      <w:r w:rsidR="00557D52">
        <w:rPr>
          <w:rFonts w:asciiTheme="majorHAnsi" w:hAnsiTheme="majorHAnsi" w:cstheme="majorHAnsi"/>
        </w:rPr>
        <w:t>.</w:t>
      </w:r>
      <w:r w:rsidR="00BD36E9">
        <w:rPr>
          <w:rFonts w:asciiTheme="majorHAnsi" w:hAnsiTheme="majorHAnsi" w:cstheme="majorHAnsi"/>
        </w:rPr>
        <w:t xml:space="preserve"> </w:t>
      </w:r>
      <w:r w:rsidRPr="006C2C21">
        <w:rPr>
          <w:rFonts w:asciiTheme="majorHAnsi" w:hAnsiTheme="majorHAnsi" w:cstheme="majorHAnsi"/>
        </w:rPr>
        <w:t xml:space="preserve">Direct transfers, particularly </w:t>
      </w:r>
      <w:r w:rsidRPr="00BD36E9">
        <w:rPr>
          <w:rFonts w:asciiTheme="majorHAnsi" w:hAnsiTheme="majorHAnsi" w:cstheme="majorHAnsi"/>
          <w:i/>
          <w:iCs/>
        </w:rPr>
        <w:t>Juntos</w:t>
      </w:r>
      <w:r w:rsidRPr="006C2C21">
        <w:rPr>
          <w:rFonts w:asciiTheme="majorHAnsi" w:hAnsiTheme="majorHAnsi" w:cstheme="majorHAnsi"/>
        </w:rPr>
        <w:t xml:space="preserve"> (a conditional cash transfer program) and </w:t>
      </w:r>
      <w:r w:rsidRPr="00BD36E9">
        <w:rPr>
          <w:rFonts w:asciiTheme="majorHAnsi" w:hAnsiTheme="majorHAnsi" w:cstheme="majorHAnsi"/>
          <w:i/>
          <w:iCs/>
        </w:rPr>
        <w:t>Pensión 65</w:t>
      </w:r>
      <w:r w:rsidRPr="006C2C21">
        <w:rPr>
          <w:rFonts w:asciiTheme="majorHAnsi" w:hAnsiTheme="majorHAnsi" w:cstheme="majorHAnsi"/>
        </w:rPr>
        <w:t xml:space="preserve"> (a social pension program), emerge as the most </w:t>
      </w:r>
      <w:r w:rsidR="00BD36E9">
        <w:rPr>
          <w:rFonts w:asciiTheme="majorHAnsi" w:hAnsiTheme="majorHAnsi" w:cstheme="majorHAnsi"/>
        </w:rPr>
        <w:t>effective</w:t>
      </w:r>
      <w:r w:rsidRPr="006C2C21">
        <w:rPr>
          <w:rFonts w:asciiTheme="majorHAnsi" w:hAnsiTheme="majorHAnsi" w:cstheme="majorHAnsi"/>
        </w:rPr>
        <w:t xml:space="preserve"> poverty-reducing instruments across all </w:t>
      </w:r>
      <w:r w:rsidRPr="005B19BC">
        <w:rPr>
          <w:rFonts w:asciiTheme="majorHAnsi" w:hAnsiTheme="majorHAnsi" w:cstheme="majorHAnsi"/>
        </w:rPr>
        <w:t xml:space="preserve">household types. Their impact is especially pronounced for elderly households, where these transfers account for a </w:t>
      </w:r>
      <w:r w:rsidR="005B19BC" w:rsidRPr="005B19BC">
        <w:rPr>
          <w:rFonts w:asciiTheme="majorHAnsi" w:hAnsiTheme="majorHAnsi" w:cstheme="majorHAnsi"/>
        </w:rPr>
        <w:t>4.2</w:t>
      </w:r>
      <w:r w:rsidR="003A31EE" w:rsidRPr="005B19BC">
        <w:rPr>
          <w:rFonts w:asciiTheme="majorHAnsi" w:hAnsiTheme="majorHAnsi" w:cstheme="majorHAnsi"/>
        </w:rPr>
        <w:t xml:space="preserve"> percent</w:t>
      </w:r>
      <w:r w:rsidRPr="005B19BC">
        <w:rPr>
          <w:rFonts w:asciiTheme="majorHAnsi" w:hAnsiTheme="majorHAnsi" w:cstheme="majorHAnsi"/>
        </w:rPr>
        <w:t xml:space="preserve"> increase</w:t>
      </w:r>
      <w:r w:rsidRPr="006C2C21">
        <w:rPr>
          <w:rFonts w:asciiTheme="majorHAnsi" w:hAnsiTheme="majorHAnsi" w:cstheme="majorHAnsi"/>
        </w:rPr>
        <w:t xml:space="preserve"> in income. This explains the poverty reduction observed for this group.</w:t>
      </w:r>
    </w:p>
    <w:p w14:paraId="2B5A9066" w14:textId="77777777" w:rsidR="007D6783" w:rsidRDefault="007D6783" w:rsidP="00290D56">
      <w:pPr>
        <w:spacing w:after="0"/>
        <w:jc w:val="both"/>
        <w:rPr>
          <w:rFonts w:asciiTheme="majorHAnsi" w:hAnsiTheme="majorHAnsi" w:cstheme="majorHAnsi"/>
        </w:rPr>
      </w:pPr>
    </w:p>
    <w:p w14:paraId="2953B2F7" w14:textId="71DAE7AB" w:rsidR="006C2C21" w:rsidRDefault="006C2C21" w:rsidP="00290D56">
      <w:pPr>
        <w:spacing w:after="0"/>
        <w:jc w:val="both"/>
        <w:rPr>
          <w:rFonts w:asciiTheme="majorHAnsi" w:hAnsiTheme="majorHAnsi" w:cstheme="majorHAnsi"/>
        </w:rPr>
      </w:pPr>
      <w:r w:rsidRPr="006C2C21">
        <w:rPr>
          <w:rFonts w:asciiTheme="majorHAnsi" w:hAnsiTheme="majorHAnsi" w:cstheme="majorHAnsi"/>
        </w:rPr>
        <w:t xml:space="preserve">However, the poverty-reducing effect of direct transfers is largely offset by the regressive impact of indirect taxes, primarily VAT (IGV) and </w:t>
      </w:r>
      <w:r w:rsidRPr="00435F54">
        <w:rPr>
          <w:rFonts w:asciiTheme="majorHAnsi" w:hAnsiTheme="majorHAnsi" w:cstheme="majorHAnsi"/>
        </w:rPr>
        <w:t>excise taxes (ISC). This regressive effect is</w:t>
      </w:r>
      <w:r w:rsidR="0030741D" w:rsidRPr="00435F54">
        <w:rPr>
          <w:rFonts w:asciiTheme="majorHAnsi" w:hAnsiTheme="majorHAnsi" w:cstheme="majorHAnsi"/>
        </w:rPr>
        <w:t xml:space="preserve"> larger</w:t>
      </w:r>
      <w:r w:rsidRPr="00435F54">
        <w:rPr>
          <w:rFonts w:asciiTheme="majorHAnsi" w:hAnsiTheme="majorHAnsi" w:cstheme="majorHAnsi"/>
        </w:rPr>
        <w:t xml:space="preserve"> for households with children. For instance, indirect taxes reduce income by approximately 8</w:t>
      </w:r>
      <w:r w:rsidR="003A31EE" w:rsidRPr="00435F54">
        <w:rPr>
          <w:rFonts w:asciiTheme="majorHAnsi" w:hAnsiTheme="majorHAnsi" w:cstheme="majorHAnsi"/>
        </w:rPr>
        <w:t xml:space="preserve"> percent</w:t>
      </w:r>
      <w:r w:rsidRPr="00435F54">
        <w:rPr>
          <w:rFonts w:asciiTheme="majorHAnsi" w:hAnsiTheme="majorHAnsi" w:cstheme="majorHAnsi"/>
        </w:rPr>
        <w:t xml:space="preserve"> for nuclear families, compared to 6</w:t>
      </w:r>
      <w:r w:rsidR="003A31EE" w:rsidRPr="00435F54">
        <w:rPr>
          <w:rFonts w:asciiTheme="majorHAnsi" w:hAnsiTheme="majorHAnsi" w:cstheme="majorHAnsi"/>
        </w:rPr>
        <w:t xml:space="preserve"> percent</w:t>
      </w:r>
      <w:r w:rsidRPr="00435F54">
        <w:rPr>
          <w:rFonts w:asciiTheme="majorHAnsi" w:hAnsiTheme="majorHAnsi" w:cstheme="majorHAnsi"/>
        </w:rPr>
        <w:t xml:space="preserve"> for elderly households.</w:t>
      </w:r>
      <w:r w:rsidRPr="006C2C21">
        <w:rPr>
          <w:rFonts w:asciiTheme="majorHAnsi" w:hAnsiTheme="majorHAnsi" w:cstheme="majorHAnsi"/>
        </w:rPr>
        <w:t xml:space="preserve"> This disparity partly explains why households with children experience increased poverty rates despite benefiting from direct transfers.</w:t>
      </w:r>
    </w:p>
    <w:p w14:paraId="366BF6E1" w14:textId="77777777" w:rsidR="00290D56" w:rsidRDefault="00290D56" w:rsidP="00290D56">
      <w:pPr>
        <w:spacing w:after="0"/>
        <w:jc w:val="both"/>
        <w:rPr>
          <w:rFonts w:asciiTheme="majorHAnsi" w:hAnsiTheme="majorHAnsi" w:cstheme="majorHAnsi"/>
        </w:rPr>
      </w:pPr>
    </w:p>
    <w:p w14:paraId="013F0A4E" w14:textId="77777777" w:rsidR="00290D56" w:rsidRDefault="00290D56" w:rsidP="00290D56">
      <w:pPr>
        <w:spacing w:after="0"/>
        <w:jc w:val="both"/>
        <w:rPr>
          <w:rFonts w:asciiTheme="majorHAnsi" w:hAnsiTheme="majorHAnsi" w:cstheme="majorHAnsi"/>
        </w:rPr>
      </w:pPr>
      <w:r w:rsidRPr="006C2C21">
        <w:rPr>
          <w:rFonts w:asciiTheme="majorHAnsi" w:hAnsiTheme="majorHAnsi" w:cstheme="majorHAnsi"/>
        </w:rPr>
        <w:t xml:space="preserve">Direct taxes have a comparatively smaller impact, reducing </w:t>
      </w:r>
      <w:r w:rsidRPr="00367E6A">
        <w:rPr>
          <w:rFonts w:asciiTheme="majorHAnsi" w:hAnsiTheme="majorHAnsi" w:cstheme="majorHAnsi"/>
        </w:rPr>
        <w:t>income by 1-2 percent across</w:t>
      </w:r>
      <w:r w:rsidRPr="006C2C21">
        <w:rPr>
          <w:rFonts w:asciiTheme="majorHAnsi" w:hAnsiTheme="majorHAnsi" w:cstheme="majorHAnsi"/>
        </w:rPr>
        <w:t xml:space="preserve"> household types. The effect is slightly larger for nuclear and extended nuclear families, likely due to higher formal sector participation among these households.</w:t>
      </w:r>
      <w:r>
        <w:rPr>
          <w:rFonts w:asciiTheme="majorHAnsi" w:hAnsiTheme="majorHAnsi" w:cstheme="majorHAnsi"/>
        </w:rPr>
        <w:t xml:space="preserve"> </w:t>
      </w:r>
    </w:p>
    <w:p w14:paraId="5F600224" w14:textId="77777777" w:rsidR="00290D56" w:rsidRDefault="00290D56" w:rsidP="00290D56">
      <w:pPr>
        <w:spacing w:after="0"/>
        <w:jc w:val="both"/>
        <w:rPr>
          <w:rFonts w:asciiTheme="majorHAnsi" w:hAnsiTheme="majorHAnsi" w:cstheme="majorHAnsi"/>
        </w:rPr>
      </w:pPr>
    </w:p>
    <w:p w14:paraId="30ACD600" w14:textId="77777777" w:rsidR="00290D56" w:rsidRDefault="00290D56" w:rsidP="00290D56">
      <w:pPr>
        <w:spacing w:after="0"/>
        <w:jc w:val="both"/>
        <w:rPr>
          <w:rFonts w:asciiTheme="majorHAnsi" w:hAnsiTheme="majorHAnsi" w:cstheme="majorHAnsi"/>
        </w:rPr>
      </w:pPr>
      <w:r w:rsidRPr="006C2C21">
        <w:rPr>
          <w:rFonts w:asciiTheme="majorHAnsi" w:hAnsiTheme="majorHAnsi" w:cstheme="majorHAnsi"/>
        </w:rPr>
        <w:t>The net effect of these fiscal instruments varies across household types. Households with children generally experience a net negative impact, as the regressive nature of indirect taxes outweighs the benefits of direct transfers. Conversely, elderly households and single adult households without children see a net positive impact, driven primarily by the significant effect of direct transfers, particularly social pensions.</w:t>
      </w:r>
    </w:p>
    <w:p w14:paraId="0EF4AB1C" w14:textId="77777777" w:rsidR="00793650" w:rsidRDefault="00793650" w:rsidP="00290D56">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9350"/>
      </w:tblGrid>
      <w:tr w:rsidR="00793650" w14:paraId="6A800274" w14:textId="77777777" w:rsidTr="00793650">
        <w:tc>
          <w:tcPr>
            <w:tcW w:w="9350" w:type="dxa"/>
          </w:tcPr>
          <w:p w14:paraId="6A4FD770" w14:textId="7A796F51" w:rsidR="00793650" w:rsidRDefault="00793650" w:rsidP="00793650">
            <w:pPr>
              <w:jc w:val="both"/>
              <w:rPr>
                <w:rFonts w:asciiTheme="majorHAnsi" w:hAnsiTheme="majorHAnsi" w:cstheme="majorHAnsi"/>
              </w:rPr>
            </w:pPr>
            <w:bookmarkStart w:id="15" w:name="_Ref175136183"/>
            <w:r w:rsidRPr="00793650">
              <w:rPr>
                <w:rFonts w:asciiTheme="majorHAnsi" w:hAnsiTheme="majorHAnsi" w:cstheme="majorHAnsi"/>
              </w:rPr>
              <w:lastRenderedPageBreak/>
              <w:t xml:space="preserve">Figure </w:t>
            </w:r>
            <w:r w:rsidRPr="00793650">
              <w:rPr>
                <w:rFonts w:asciiTheme="majorHAnsi" w:hAnsiTheme="majorHAnsi" w:cstheme="majorHAnsi"/>
              </w:rPr>
              <w:fldChar w:fldCharType="begin"/>
            </w:r>
            <w:r w:rsidRPr="00793650">
              <w:rPr>
                <w:rFonts w:asciiTheme="majorHAnsi" w:hAnsiTheme="majorHAnsi" w:cstheme="majorHAnsi"/>
              </w:rPr>
              <w:instrText xml:space="preserve"> SEQ Figure \* ARABIC </w:instrText>
            </w:r>
            <w:r w:rsidRPr="00793650">
              <w:rPr>
                <w:rFonts w:asciiTheme="majorHAnsi" w:hAnsiTheme="majorHAnsi" w:cstheme="majorHAnsi"/>
              </w:rPr>
              <w:fldChar w:fldCharType="separate"/>
            </w:r>
            <w:r w:rsidR="00B71781">
              <w:rPr>
                <w:rFonts w:asciiTheme="majorHAnsi" w:hAnsiTheme="majorHAnsi" w:cstheme="majorHAnsi"/>
                <w:noProof/>
              </w:rPr>
              <w:t>14</w:t>
            </w:r>
            <w:r w:rsidRPr="00793650">
              <w:rPr>
                <w:rFonts w:asciiTheme="majorHAnsi" w:hAnsiTheme="majorHAnsi" w:cstheme="majorHAnsi"/>
              </w:rPr>
              <w:fldChar w:fldCharType="end"/>
            </w:r>
            <w:bookmarkEnd w:id="15"/>
            <w:r w:rsidRPr="000A1880">
              <w:rPr>
                <w:rFonts w:asciiTheme="majorHAnsi" w:hAnsiTheme="majorHAnsi" w:cstheme="majorHAnsi"/>
              </w:rPr>
              <w:t>.</w:t>
            </w:r>
            <w:r w:rsidRPr="00BD3182">
              <w:rPr>
                <w:rFonts w:asciiTheme="majorHAnsi" w:hAnsiTheme="majorHAnsi" w:cstheme="majorHAnsi"/>
              </w:rPr>
              <w:t xml:space="preserve"> </w:t>
            </w:r>
            <w:r w:rsidRPr="00E06A55">
              <w:rPr>
                <w:rFonts w:asciiTheme="majorHAnsi" w:hAnsiTheme="majorHAnsi" w:cstheme="majorHAnsi"/>
              </w:rPr>
              <w:t>Impact of fiscal instruments by demographic household type</w:t>
            </w:r>
          </w:p>
          <w:p w14:paraId="12F20A40" w14:textId="1408CB17" w:rsidR="00793650" w:rsidRDefault="00793650" w:rsidP="00793650">
            <w:pPr>
              <w:spacing w:line="259" w:lineRule="auto"/>
              <w:jc w:val="both"/>
              <w:rPr>
                <w:rFonts w:asciiTheme="majorHAnsi" w:hAnsiTheme="majorHAnsi" w:cstheme="majorHAnsi"/>
              </w:rPr>
            </w:pPr>
            <w:r w:rsidRPr="00793650">
              <w:rPr>
                <w:rFonts w:asciiTheme="majorHAnsi" w:hAnsiTheme="majorHAnsi" w:cstheme="majorHAnsi"/>
              </w:rPr>
              <w:t>(as a share of household market income)</w:t>
            </w:r>
          </w:p>
        </w:tc>
      </w:tr>
      <w:tr w:rsidR="00793650" w14:paraId="1294B135" w14:textId="77777777" w:rsidTr="00793650">
        <w:tc>
          <w:tcPr>
            <w:tcW w:w="9350" w:type="dxa"/>
          </w:tcPr>
          <w:p w14:paraId="4BEB07BD" w14:textId="60CC1FB7" w:rsidR="00793650" w:rsidRDefault="00793650" w:rsidP="00DC7405">
            <w:pPr>
              <w:spacing w:after="120"/>
              <w:jc w:val="both"/>
              <w:rPr>
                <w:rFonts w:asciiTheme="majorHAnsi" w:hAnsiTheme="majorHAnsi" w:cstheme="majorHAnsi"/>
              </w:rPr>
            </w:pPr>
            <w:r>
              <w:rPr>
                <w:noProof/>
              </w:rPr>
              <w:drawing>
                <wp:inline distT="0" distB="0" distL="0" distR="0" wp14:anchorId="11E98AD2" wp14:editId="358B9CDC">
                  <wp:extent cx="5848710" cy="3053751"/>
                  <wp:effectExtent l="0" t="0" r="0" b="0"/>
                  <wp:docPr id="20" name="Chart 20">
                    <a:extLst xmlns:a="http://schemas.openxmlformats.org/drawingml/2006/main">
                      <a:ext uri="{FF2B5EF4-FFF2-40B4-BE49-F238E27FC236}">
                        <a16:creationId xmlns:a16="http://schemas.microsoft.com/office/drawing/2014/main" id="{F6F4E84E-EFE0-4E95-8D42-D90136852E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r w:rsidR="00793650" w14:paraId="7177618E" w14:textId="77777777" w:rsidTr="00793650">
        <w:tc>
          <w:tcPr>
            <w:tcW w:w="9350" w:type="dxa"/>
          </w:tcPr>
          <w:p w14:paraId="6D5F0608" w14:textId="4321881F" w:rsidR="00793650" w:rsidRDefault="00793650" w:rsidP="00DC7405">
            <w:pPr>
              <w:spacing w:after="120"/>
              <w:jc w:val="both"/>
              <w:rPr>
                <w:rFonts w:asciiTheme="majorHAnsi" w:hAnsiTheme="majorHAnsi" w:cstheme="majorHAnsi"/>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095D0D5E" w14:textId="77777777" w:rsidR="00983D0C" w:rsidRDefault="00983D0C" w:rsidP="007D6783">
      <w:pPr>
        <w:spacing w:after="0"/>
        <w:jc w:val="both"/>
        <w:rPr>
          <w:rFonts w:asciiTheme="majorHAnsi" w:hAnsiTheme="majorHAnsi" w:cstheme="majorHAnsi"/>
        </w:rPr>
      </w:pPr>
    </w:p>
    <w:p w14:paraId="2E4BFAB3" w14:textId="288D46BE" w:rsidR="001205F9" w:rsidRDefault="006C2C21" w:rsidP="007D6783">
      <w:pPr>
        <w:spacing w:after="0"/>
        <w:jc w:val="both"/>
        <w:rPr>
          <w:rFonts w:asciiTheme="majorHAnsi" w:hAnsiTheme="majorHAnsi" w:cstheme="majorHAnsi"/>
        </w:rPr>
      </w:pPr>
      <w:r w:rsidRPr="006C2C21">
        <w:rPr>
          <w:rFonts w:asciiTheme="majorHAnsi" w:hAnsiTheme="majorHAnsi" w:cstheme="majorHAnsi"/>
        </w:rPr>
        <w:t>These findings underscore the importance of considering household demographic composition in fiscal incidence analysis. The differential impacts of fiscal policies across household types reveal potential inequities in the current system, particularly in its treatment of families with children. They suggest a need for targeted policy interventions to mitigate the negative effects on households with children, while maintaining the positive impacts observed for elderly and single adult households without children.</w:t>
      </w:r>
    </w:p>
    <w:p w14:paraId="323CA308" w14:textId="77777777" w:rsidR="00793650" w:rsidRPr="001205F9" w:rsidRDefault="00793650" w:rsidP="007D6783">
      <w:pPr>
        <w:spacing w:after="0"/>
        <w:jc w:val="both"/>
        <w:rPr>
          <w:rFonts w:asciiTheme="majorHAnsi" w:hAnsiTheme="majorHAnsi" w:cstheme="majorHAnsi"/>
        </w:rPr>
      </w:pPr>
    </w:p>
    <w:p w14:paraId="3C0685A2" w14:textId="6063B1AA" w:rsidR="001205F9" w:rsidRDefault="00EA182C" w:rsidP="007D6783">
      <w:pPr>
        <w:pStyle w:val="Heading3"/>
        <w:spacing w:before="0"/>
      </w:pPr>
      <w:r>
        <w:t>Households</w:t>
      </w:r>
      <w:r w:rsidR="001205F9" w:rsidRPr="00E2214B">
        <w:t xml:space="preserve"> with </w:t>
      </w:r>
      <w:r>
        <w:t>Intensive</w:t>
      </w:r>
      <w:r w:rsidR="001205F9" w:rsidRPr="00E2214B">
        <w:t xml:space="preserve"> Care Needs</w:t>
      </w:r>
    </w:p>
    <w:p w14:paraId="1920C341" w14:textId="77777777" w:rsidR="00793650" w:rsidRPr="00793650" w:rsidRDefault="00793650" w:rsidP="007D6783">
      <w:pPr>
        <w:spacing w:after="0"/>
      </w:pPr>
    </w:p>
    <w:p w14:paraId="609B59DD" w14:textId="2831B5F6" w:rsidR="00B82354" w:rsidRDefault="00D42275" w:rsidP="007D6783">
      <w:pPr>
        <w:spacing w:after="0"/>
        <w:jc w:val="both"/>
        <w:rPr>
          <w:rFonts w:asciiTheme="majorHAnsi" w:hAnsiTheme="majorHAnsi" w:cstheme="majorHAnsi"/>
        </w:rPr>
      </w:pPr>
      <w:r>
        <w:rPr>
          <w:rFonts w:asciiTheme="majorHAnsi" w:hAnsiTheme="majorHAnsi" w:cstheme="majorHAnsi"/>
        </w:rPr>
        <w:t>For most cases</w:t>
      </w:r>
      <w:r w:rsidR="00B82354">
        <w:rPr>
          <w:rFonts w:asciiTheme="majorHAnsi" w:hAnsiTheme="majorHAnsi" w:cstheme="majorHAnsi"/>
        </w:rPr>
        <w:t>, the fi</w:t>
      </w:r>
      <w:r w:rsidR="00B82354" w:rsidRPr="00983D0C">
        <w:rPr>
          <w:rFonts w:asciiTheme="majorHAnsi" w:hAnsiTheme="majorHAnsi" w:cstheme="majorHAnsi"/>
        </w:rPr>
        <w:t>scal system increases poverty for households with care-dependent members (</w:t>
      </w:r>
      <w:r w:rsidR="00983D0C" w:rsidRPr="00983D0C">
        <w:rPr>
          <w:rFonts w:asciiTheme="majorHAnsi" w:hAnsiTheme="majorHAnsi" w:cstheme="majorHAnsi"/>
        </w:rPr>
        <w:fldChar w:fldCharType="begin"/>
      </w:r>
      <w:r w:rsidR="00983D0C" w:rsidRPr="00983D0C">
        <w:rPr>
          <w:rFonts w:asciiTheme="majorHAnsi" w:hAnsiTheme="majorHAnsi" w:cstheme="majorHAnsi"/>
        </w:rPr>
        <w:instrText xml:space="preserve"> REF _Ref177112150 \h </w:instrText>
      </w:r>
      <w:r w:rsidR="00983D0C">
        <w:rPr>
          <w:rFonts w:asciiTheme="majorHAnsi" w:hAnsiTheme="majorHAnsi" w:cstheme="majorHAnsi"/>
        </w:rPr>
        <w:instrText xml:space="preserve"> \* MERGEFORMAT </w:instrText>
      </w:r>
      <w:r w:rsidR="00983D0C" w:rsidRPr="00983D0C">
        <w:rPr>
          <w:rFonts w:asciiTheme="majorHAnsi" w:hAnsiTheme="majorHAnsi" w:cstheme="majorHAnsi"/>
        </w:rPr>
      </w:r>
      <w:r w:rsidR="00983D0C" w:rsidRPr="00983D0C">
        <w:rPr>
          <w:rFonts w:asciiTheme="majorHAnsi" w:hAnsiTheme="majorHAnsi" w:cstheme="majorHAnsi"/>
        </w:rPr>
        <w:fldChar w:fldCharType="separate"/>
      </w:r>
      <w:r w:rsidR="00B71781" w:rsidRPr="00983D0C">
        <w:rPr>
          <w:rFonts w:asciiTheme="majorHAnsi" w:hAnsiTheme="majorHAnsi" w:cstheme="majorHAnsi"/>
        </w:rPr>
        <w:t xml:space="preserve">Figure </w:t>
      </w:r>
      <w:r w:rsidR="00B71781">
        <w:rPr>
          <w:rFonts w:asciiTheme="majorHAnsi" w:hAnsiTheme="majorHAnsi" w:cstheme="majorHAnsi"/>
        </w:rPr>
        <w:t>15</w:t>
      </w:r>
      <w:r w:rsidR="00983D0C" w:rsidRPr="00983D0C">
        <w:rPr>
          <w:rFonts w:asciiTheme="majorHAnsi" w:hAnsiTheme="majorHAnsi" w:cstheme="majorHAnsi"/>
        </w:rPr>
        <w:fldChar w:fldCharType="end"/>
      </w:r>
      <w:r w:rsidR="00B82354" w:rsidRPr="00983D0C">
        <w:rPr>
          <w:rFonts w:asciiTheme="majorHAnsi" w:hAnsiTheme="majorHAnsi" w:cstheme="majorHAnsi"/>
        </w:rPr>
        <w:t>).</w:t>
      </w:r>
      <w:r w:rsidR="00557D52" w:rsidRPr="00983D0C">
        <w:rPr>
          <w:rFonts w:asciiTheme="majorHAnsi" w:hAnsiTheme="majorHAnsi" w:cstheme="majorHAnsi"/>
        </w:rPr>
        <w:t xml:space="preserve"> </w:t>
      </w:r>
      <w:r w:rsidR="00A44746" w:rsidRPr="00983D0C">
        <w:rPr>
          <w:rFonts w:asciiTheme="majorHAnsi" w:hAnsiTheme="majorHAnsi" w:cstheme="majorHAnsi"/>
        </w:rPr>
        <w:t>T</w:t>
      </w:r>
      <w:r w:rsidR="00B82354" w:rsidRPr="00983D0C">
        <w:rPr>
          <w:rFonts w:asciiTheme="majorHAnsi" w:hAnsiTheme="majorHAnsi" w:cstheme="majorHAnsi"/>
        </w:rPr>
        <w:t>he highest post fiscal</w:t>
      </w:r>
      <w:r w:rsidR="00B82354">
        <w:rPr>
          <w:rFonts w:asciiTheme="majorHAnsi" w:hAnsiTheme="majorHAnsi" w:cstheme="majorHAnsi"/>
        </w:rPr>
        <w:t xml:space="preserve"> increase in poverty is observed in adult couple with care-dependent households</w:t>
      </w:r>
      <w:r w:rsidR="00A44746">
        <w:rPr>
          <w:rFonts w:asciiTheme="majorHAnsi" w:hAnsiTheme="majorHAnsi" w:cstheme="majorHAnsi"/>
        </w:rPr>
        <w:t>, which is</w:t>
      </w:r>
      <w:r w:rsidR="00B82354">
        <w:rPr>
          <w:rFonts w:asciiTheme="majorHAnsi" w:hAnsiTheme="majorHAnsi" w:cstheme="majorHAnsi"/>
        </w:rPr>
        <w:t xml:space="preserve"> consistent with nuclear households being negatively impacted by the fiscal system. The one exception are lone mothers living with care-dependents, for whom the fiscal system represents a slight decrease in their poverty rate (from 31.1 percent pre fiscal to 301.1 percent post fiscal). This may signal</w:t>
      </w:r>
      <w:r w:rsidR="00B82354" w:rsidRPr="000E73CE">
        <w:rPr>
          <w:rFonts w:asciiTheme="majorHAnsi" w:hAnsiTheme="majorHAnsi" w:cstheme="majorHAnsi"/>
        </w:rPr>
        <w:t xml:space="preserve"> that existing targeted support programs for single mothers partially offset the regressive effects of the broader fiscal system</w:t>
      </w:r>
      <w:r w:rsidR="00B82354">
        <w:rPr>
          <w:rFonts w:asciiTheme="majorHAnsi" w:hAnsiTheme="majorHAnsi" w:cstheme="majorHAnsi"/>
        </w:rPr>
        <w:t xml:space="preserve"> but does not translate into a significant improvement in their welfare (only a 1 percentage point </w:t>
      </w:r>
      <w:r w:rsidR="00A44746">
        <w:rPr>
          <w:rFonts w:asciiTheme="majorHAnsi" w:hAnsiTheme="majorHAnsi" w:cstheme="majorHAnsi"/>
        </w:rPr>
        <w:t xml:space="preserve">decrease in poverty, </w:t>
      </w:r>
      <w:r w:rsidR="00B82354">
        <w:rPr>
          <w:rFonts w:asciiTheme="majorHAnsi" w:hAnsiTheme="majorHAnsi" w:cstheme="majorHAnsi"/>
        </w:rPr>
        <w:t>as per this typology).</w:t>
      </w:r>
    </w:p>
    <w:p w14:paraId="512D76E2" w14:textId="77777777" w:rsidR="00290D56" w:rsidRDefault="00290D56" w:rsidP="007D6783">
      <w:pPr>
        <w:spacing w:after="0"/>
        <w:jc w:val="both"/>
        <w:rPr>
          <w:rFonts w:asciiTheme="majorHAnsi" w:hAnsiTheme="majorHAnsi" w:cstheme="majorHAnsi"/>
        </w:rPr>
      </w:pPr>
    </w:p>
    <w:p w14:paraId="41510E27" w14:textId="77777777" w:rsidR="00290D56" w:rsidRDefault="00290D56" w:rsidP="007D6783">
      <w:pPr>
        <w:spacing w:after="0"/>
        <w:jc w:val="both"/>
        <w:rPr>
          <w:rFonts w:asciiTheme="majorHAnsi" w:hAnsiTheme="majorHAnsi" w:cstheme="majorHAnsi"/>
        </w:rPr>
      </w:pPr>
    </w:p>
    <w:p w14:paraId="3F33EF9F" w14:textId="77777777" w:rsidR="00290D56" w:rsidRDefault="00290D56" w:rsidP="007D6783">
      <w:pPr>
        <w:spacing w:after="0"/>
        <w:jc w:val="both"/>
        <w:rPr>
          <w:rFonts w:asciiTheme="majorHAnsi" w:hAnsiTheme="majorHAnsi" w:cstheme="majorHAnsi"/>
        </w:rPr>
      </w:pPr>
    </w:p>
    <w:p w14:paraId="76A46AF5" w14:textId="77777777" w:rsidR="00290D56" w:rsidRDefault="00290D56" w:rsidP="007D6783">
      <w:pPr>
        <w:spacing w:after="0"/>
        <w:jc w:val="both"/>
        <w:rPr>
          <w:rFonts w:asciiTheme="majorHAnsi" w:hAnsiTheme="majorHAnsi" w:cstheme="majorHAnsi"/>
        </w:rPr>
      </w:pPr>
    </w:p>
    <w:p w14:paraId="2C028151" w14:textId="77777777" w:rsidR="00290D56" w:rsidRDefault="00290D56" w:rsidP="007D6783">
      <w:pPr>
        <w:spacing w:after="0"/>
        <w:jc w:val="both"/>
        <w:rPr>
          <w:rFonts w:asciiTheme="majorHAnsi" w:hAnsiTheme="majorHAnsi" w:cstheme="majorHAnsi"/>
        </w:rPr>
      </w:pPr>
    </w:p>
    <w:p w14:paraId="5F929FEC" w14:textId="77777777" w:rsidR="00290D56" w:rsidRDefault="00290D56" w:rsidP="007D6783">
      <w:pPr>
        <w:spacing w:after="0"/>
        <w:jc w:val="both"/>
        <w:rPr>
          <w:rFonts w:asciiTheme="majorHAnsi" w:hAnsiTheme="majorHAnsi" w:cstheme="majorHAnsi"/>
        </w:rPr>
      </w:pPr>
    </w:p>
    <w:p w14:paraId="2C2490CE" w14:textId="77777777" w:rsidR="00290D56" w:rsidRDefault="00290D56" w:rsidP="007D6783">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8749"/>
      </w:tblGrid>
      <w:tr w:rsidR="00983D0C" w14:paraId="579EF113" w14:textId="77777777" w:rsidTr="00290D56">
        <w:trPr>
          <w:trHeight w:val="491"/>
        </w:trPr>
        <w:tc>
          <w:tcPr>
            <w:tcW w:w="8749" w:type="dxa"/>
          </w:tcPr>
          <w:p w14:paraId="76C80D1B" w14:textId="394D79A9" w:rsidR="00983D0C" w:rsidRDefault="00983D0C" w:rsidP="00983D0C">
            <w:pPr>
              <w:jc w:val="both"/>
              <w:rPr>
                <w:rFonts w:asciiTheme="majorHAnsi" w:hAnsiTheme="majorHAnsi" w:cstheme="majorHAnsi"/>
              </w:rPr>
            </w:pPr>
            <w:bookmarkStart w:id="16" w:name="_Ref177112150"/>
            <w:r w:rsidRPr="00983D0C">
              <w:rPr>
                <w:rFonts w:asciiTheme="majorHAnsi" w:hAnsiTheme="majorHAnsi" w:cstheme="majorHAnsi"/>
              </w:rPr>
              <w:lastRenderedPageBreak/>
              <w:t xml:space="preserve">Figure </w:t>
            </w:r>
            <w:r w:rsidRPr="00983D0C">
              <w:rPr>
                <w:rFonts w:asciiTheme="majorHAnsi" w:hAnsiTheme="majorHAnsi" w:cstheme="majorHAnsi"/>
              </w:rPr>
              <w:fldChar w:fldCharType="begin"/>
            </w:r>
            <w:r w:rsidRPr="00983D0C">
              <w:rPr>
                <w:rFonts w:asciiTheme="majorHAnsi" w:hAnsiTheme="majorHAnsi" w:cstheme="majorHAnsi"/>
              </w:rPr>
              <w:instrText xml:space="preserve"> SEQ Figure \* ARABIC </w:instrText>
            </w:r>
            <w:r w:rsidRPr="00983D0C">
              <w:rPr>
                <w:rFonts w:asciiTheme="majorHAnsi" w:hAnsiTheme="majorHAnsi" w:cstheme="majorHAnsi"/>
              </w:rPr>
              <w:fldChar w:fldCharType="separate"/>
            </w:r>
            <w:r w:rsidR="00B71781">
              <w:rPr>
                <w:rFonts w:asciiTheme="majorHAnsi" w:hAnsiTheme="majorHAnsi" w:cstheme="majorHAnsi"/>
                <w:noProof/>
              </w:rPr>
              <w:t>15</w:t>
            </w:r>
            <w:r w:rsidRPr="00983D0C">
              <w:rPr>
                <w:rFonts w:asciiTheme="majorHAnsi" w:hAnsiTheme="majorHAnsi" w:cstheme="majorHAnsi"/>
              </w:rPr>
              <w:fldChar w:fldCharType="end"/>
            </w:r>
            <w:bookmarkEnd w:id="16"/>
            <w:r w:rsidRPr="000A1880">
              <w:rPr>
                <w:rFonts w:asciiTheme="majorHAnsi" w:hAnsiTheme="majorHAnsi" w:cstheme="majorHAnsi"/>
              </w:rPr>
              <w:t>.</w:t>
            </w:r>
            <w:r w:rsidRPr="00BD3182">
              <w:rPr>
                <w:rFonts w:asciiTheme="majorHAnsi" w:hAnsiTheme="majorHAnsi" w:cstheme="majorHAnsi"/>
              </w:rPr>
              <w:t xml:space="preserve"> Pre-fiscal and post-fiscal poverty rates by </w:t>
            </w:r>
            <w:r>
              <w:rPr>
                <w:rFonts w:asciiTheme="majorHAnsi" w:hAnsiTheme="majorHAnsi" w:cstheme="majorHAnsi"/>
              </w:rPr>
              <w:t>presence of dependents with care needs</w:t>
            </w:r>
          </w:p>
          <w:p w14:paraId="1B9253A0" w14:textId="5D46F1E7" w:rsidR="00983D0C" w:rsidRDefault="00983D0C" w:rsidP="00983D0C">
            <w:pPr>
              <w:jc w:val="both"/>
              <w:rPr>
                <w:rFonts w:asciiTheme="majorHAnsi" w:hAnsiTheme="majorHAnsi" w:cstheme="majorHAnsi"/>
              </w:rPr>
            </w:pPr>
            <w:r w:rsidRPr="00983D0C">
              <w:rPr>
                <w:rFonts w:asciiTheme="majorHAnsi" w:hAnsiTheme="majorHAnsi" w:cstheme="majorHAnsi"/>
              </w:rPr>
              <w:t>(Headcount poverty rate using national poverty line)</w:t>
            </w:r>
          </w:p>
        </w:tc>
      </w:tr>
      <w:tr w:rsidR="00983D0C" w14:paraId="35EA5A3E" w14:textId="77777777" w:rsidTr="00290D56">
        <w:trPr>
          <w:trHeight w:val="3851"/>
        </w:trPr>
        <w:tc>
          <w:tcPr>
            <w:tcW w:w="8749" w:type="dxa"/>
          </w:tcPr>
          <w:p w14:paraId="0793387A" w14:textId="3E2574F4" w:rsidR="00983D0C" w:rsidRDefault="00983D0C" w:rsidP="00B82354">
            <w:pPr>
              <w:jc w:val="both"/>
              <w:rPr>
                <w:rFonts w:asciiTheme="majorHAnsi" w:hAnsiTheme="majorHAnsi" w:cstheme="majorHAnsi"/>
              </w:rPr>
            </w:pPr>
            <w:r>
              <w:rPr>
                <w:noProof/>
              </w:rPr>
              <w:drawing>
                <wp:inline distT="0" distB="0" distL="0" distR="0" wp14:anchorId="3E04894F" wp14:editId="1EA6B939">
                  <wp:extent cx="5358765" cy="2377440"/>
                  <wp:effectExtent l="0" t="0" r="0" b="3810"/>
                  <wp:docPr id="1377071936" name="Chart 1">
                    <a:extLst xmlns:a="http://schemas.openxmlformats.org/drawingml/2006/main">
                      <a:ext uri="{FF2B5EF4-FFF2-40B4-BE49-F238E27FC236}">
                        <a16:creationId xmlns:a16="http://schemas.microsoft.com/office/drawing/2014/main" id="{00000000-0008-0000-05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r w:rsidR="00983D0C" w14:paraId="378986A5" w14:textId="77777777" w:rsidTr="00290D56">
        <w:trPr>
          <w:trHeight w:val="217"/>
        </w:trPr>
        <w:tc>
          <w:tcPr>
            <w:tcW w:w="8749" w:type="dxa"/>
          </w:tcPr>
          <w:p w14:paraId="7A94BFA8" w14:textId="2F40287C" w:rsidR="00983D0C" w:rsidRDefault="00983D0C" w:rsidP="00B82354">
            <w:pPr>
              <w:jc w:val="both"/>
              <w:rPr>
                <w:rFonts w:asciiTheme="majorHAnsi" w:hAnsiTheme="majorHAnsi" w:cstheme="majorHAnsi"/>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1B75678A" w14:textId="77777777" w:rsidR="00983D0C" w:rsidRDefault="00983D0C" w:rsidP="00B82354">
      <w:pPr>
        <w:spacing w:after="0"/>
        <w:jc w:val="both"/>
        <w:rPr>
          <w:rFonts w:asciiTheme="majorHAnsi" w:hAnsiTheme="majorHAnsi" w:cstheme="majorHAnsi"/>
        </w:rPr>
      </w:pPr>
    </w:p>
    <w:p w14:paraId="12F70B7F" w14:textId="476993BE" w:rsidR="00557D52" w:rsidRDefault="00557D52" w:rsidP="00557D52">
      <w:pPr>
        <w:spacing w:after="0"/>
        <w:jc w:val="both"/>
        <w:rPr>
          <w:rFonts w:asciiTheme="majorHAnsi" w:hAnsiTheme="majorHAnsi" w:cstheme="majorHAnsi"/>
        </w:rPr>
      </w:pPr>
      <w:r>
        <w:rPr>
          <w:rFonts w:asciiTheme="majorHAnsi" w:hAnsiTheme="majorHAnsi" w:cstheme="majorHAnsi"/>
        </w:rPr>
        <w:t>Conversely, the fiscal system is redistributive as it reduces inequality (Gini coefficient) across all types with intensive care needs (</w:t>
      </w:r>
      <w:r>
        <w:rPr>
          <w:rFonts w:asciiTheme="majorHAnsi" w:hAnsiTheme="majorHAnsi" w:cstheme="majorHAnsi"/>
        </w:rPr>
        <w:fldChar w:fldCharType="begin"/>
      </w:r>
      <w:r>
        <w:rPr>
          <w:rFonts w:asciiTheme="majorHAnsi" w:hAnsiTheme="majorHAnsi" w:cstheme="majorHAnsi"/>
        </w:rPr>
        <w:instrText xml:space="preserve"> REF _Ref177112186 \h  \* MERGEFORMAT </w:instrText>
      </w:r>
      <w:r>
        <w:rPr>
          <w:rFonts w:asciiTheme="majorHAnsi" w:hAnsiTheme="majorHAnsi" w:cstheme="majorHAnsi"/>
        </w:rPr>
      </w:r>
      <w:r>
        <w:rPr>
          <w:rFonts w:asciiTheme="majorHAnsi" w:hAnsiTheme="majorHAnsi" w:cstheme="majorHAnsi"/>
        </w:rPr>
        <w:fldChar w:fldCharType="separate"/>
      </w:r>
      <w:r w:rsidR="00B71781" w:rsidRPr="0058609A">
        <w:rPr>
          <w:rFonts w:asciiTheme="majorHAnsi" w:hAnsiTheme="majorHAnsi" w:cstheme="majorHAnsi"/>
        </w:rPr>
        <w:t xml:space="preserve">Figure </w:t>
      </w:r>
      <w:r w:rsidR="00B71781">
        <w:rPr>
          <w:rFonts w:asciiTheme="majorHAnsi" w:hAnsiTheme="majorHAnsi" w:cstheme="majorHAnsi"/>
        </w:rPr>
        <w:t>16</w:t>
      </w:r>
      <w:r>
        <w:rPr>
          <w:rFonts w:asciiTheme="majorHAnsi" w:hAnsiTheme="majorHAnsi" w:cstheme="majorHAnsi"/>
        </w:rPr>
        <w:fldChar w:fldCharType="end"/>
      </w:r>
      <w:r>
        <w:rPr>
          <w:rFonts w:asciiTheme="majorHAnsi" w:hAnsiTheme="majorHAnsi" w:cstheme="majorHAnsi"/>
        </w:rPr>
        <w:t>). Lone mothers experience the largest decrease in the Gini coefficient with 2.2 points, followed by adult couple and other households (decreases of 1.7 and 1.2 points, respectively). Nevertheless, the redistributive capacity of the fiscal system does not vary much across the with and without care-dependent household types.</w:t>
      </w:r>
    </w:p>
    <w:p w14:paraId="283622B1" w14:textId="77777777" w:rsidR="00557D52" w:rsidRDefault="00557D52" w:rsidP="00B82354">
      <w:pPr>
        <w:spacing w:after="0"/>
        <w:jc w:val="both"/>
        <w:rPr>
          <w:rFonts w:asciiTheme="majorHAnsi" w:hAnsiTheme="majorHAnsi" w:cstheme="majorHAnsi"/>
        </w:rPr>
      </w:pPr>
    </w:p>
    <w:p w14:paraId="561A5AAC" w14:textId="77777777" w:rsidR="00557D52" w:rsidRDefault="00557D52" w:rsidP="00557D52">
      <w:pPr>
        <w:spacing w:after="0"/>
        <w:jc w:val="both"/>
        <w:rPr>
          <w:rFonts w:asciiTheme="majorHAnsi" w:hAnsiTheme="majorHAnsi" w:cstheme="majorHAnsi"/>
        </w:rPr>
      </w:pPr>
      <w:r>
        <w:rPr>
          <w:rFonts w:asciiTheme="majorHAnsi" w:hAnsiTheme="majorHAnsi" w:cstheme="majorHAnsi"/>
        </w:rPr>
        <w:t>T</w:t>
      </w:r>
      <w:r w:rsidRPr="00E3775A">
        <w:rPr>
          <w:rFonts w:asciiTheme="majorHAnsi" w:hAnsiTheme="majorHAnsi" w:cstheme="majorHAnsi"/>
        </w:rPr>
        <w:t xml:space="preserve">he fiscal system </w:t>
      </w:r>
      <w:r>
        <w:rPr>
          <w:rFonts w:asciiTheme="majorHAnsi" w:hAnsiTheme="majorHAnsi" w:cstheme="majorHAnsi"/>
        </w:rPr>
        <w:t>pushes lone mothers with care dependents</w:t>
      </w:r>
      <w:r w:rsidRPr="00E3775A">
        <w:rPr>
          <w:rFonts w:asciiTheme="majorHAnsi" w:hAnsiTheme="majorHAnsi" w:cstheme="majorHAnsi"/>
        </w:rPr>
        <w:t xml:space="preserve"> </w:t>
      </w:r>
      <w:r>
        <w:rPr>
          <w:rFonts w:asciiTheme="majorHAnsi" w:hAnsiTheme="majorHAnsi" w:cstheme="majorHAnsi"/>
        </w:rPr>
        <w:t>out of</w:t>
      </w:r>
      <w:r w:rsidRPr="00E3775A">
        <w:rPr>
          <w:rFonts w:asciiTheme="majorHAnsi" w:hAnsiTheme="majorHAnsi" w:cstheme="majorHAnsi"/>
        </w:rPr>
        <w:t xml:space="preserve"> poverty,</w:t>
      </w:r>
      <w:r>
        <w:rPr>
          <w:rFonts w:asciiTheme="majorHAnsi" w:hAnsiTheme="majorHAnsi" w:cstheme="majorHAnsi"/>
        </w:rPr>
        <w:t xml:space="preserve"> and</w:t>
      </w:r>
      <w:r w:rsidRPr="00E3775A">
        <w:rPr>
          <w:rFonts w:asciiTheme="majorHAnsi" w:hAnsiTheme="majorHAnsi" w:cstheme="majorHAnsi"/>
        </w:rPr>
        <w:t xml:space="preserve"> it also compresses the</w:t>
      </w:r>
      <w:r>
        <w:rPr>
          <w:rFonts w:asciiTheme="majorHAnsi" w:hAnsiTheme="majorHAnsi" w:cstheme="majorHAnsi"/>
        </w:rPr>
        <w:t>ir</w:t>
      </w:r>
      <w:r w:rsidRPr="00E3775A">
        <w:rPr>
          <w:rFonts w:asciiTheme="majorHAnsi" w:hAnsiTheme="majorHAnsi" w:cstheme="majorHAnsi"/>
        </w:rPr>
        <w:t xml:space="preserve"> income distribution.</w:t>
      </w:r>
      <w:r>
        <w:rPr>
          <w:rFonts w:asciiTheme="majorHAnsi" w:hAnsiTheme="majorHAnsi" w:cstheme="majorHAnsi"/>
        </w:rPr>
        <w:t xml:space="preserve"> Yet, they only represent 4 percent of Peruvian households and 5 percent of the poor. However, the gains from the fiscal system are mixed when it comes to other care-dependent households that represent higher shares of both total and poor households. Together, adult couple with care-dependents and other households with care-dependents, represent 58 percent of poor households.</w:t>
      </w:r>
    </w:p>
    <w:p w14:paraId="630B7865" w14:textId="7D3785F1" w:rsidR="00557D52" w:rsidRDefault="00557D52" w:rsidP="00B82354">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9000"/>
      </w:tblGrid>
      <w:tr w:rsidR="00590A33" w14:paraId="7152E4FB" w14:textId="77777777" w:rsidTr="00290D56">
        <w:trPr>
          <w:trHeight w:val="501"/>
        </w:trPr>
        <w:tc>
          <w:tcPr>
            <w:tcW w:w="9000" w:type="dxa"/>
          </w:tcPr>
          <w:p w14:paraId="7468103B" w14:textId="2931269A" w:rsidR="00590A33" w:rsidRDefault="00590A33" w:rsidP="00590A33">
            <w:pPr>
              <w:jc w:val="both"/>
              <w:rPr>
                <w:rFonts w:asciiTheme="majorHAnsi" w:hAnsiTheme="majorHAnsi" w:cstheme="majorHAnsi"/>
              </w:rPr>
            </w:pPr>
            <w:bookmarkStart w:id="17" w:name="_Ref177112186"/>
            <w:r w:rsidRPr="0058609A">
              <w:rPr>
                <w:rFonts w:asciiTheme="majorHAnsi" w:hAnsiTheme="majorHAnsi" w:cstheme="majorHAnsi"/>
              </w:rPr>
              <w:t xml:space="preserve">Figure </w:t>
            </w:r>
            <w:r w:rsidRPr="0058609A">
              <w:rPr>
                <w:rFonts w:asciiTheme="majorHAnsi" w:hAnsiTheme="majorHAnsi" w:cstheme="majorHAnsi"/>
              </w:rPr>
              <w:fldChar w:fldCharType="begin"/>
            </w:r>
            <w:r w:rsidRPr="0058609A">
              <w:rPr>
                <w:rFonts w:asciiTheme="majorHAnsi" w:hAnsiTheme="majorHAnsi" w:cstheme="majorHAnsi"/>
              </w:rPr>
              <w:instrText xml:space="preserve"> SEQ Figure \* ARABIC </w:instrText>
            </w:r>
            <w:r w:rsidRPr="0058609A">
              <w:rPr>
                <w:rFonts w:asciiTheme="majorHAnsi" w:hAnsiTheme="majorHAnsi" w:cstheme="majorHAnsi"/>
              </w:rPr>
              <w:fldChar w:fldCharType="separate"/>
            </w:r>
            <w:r w:rsidR="00B71781">
              <w:rPr>
                <w:rFonts w:asciiTheme="majorHAnsi" w:hAnsiTheme="majorHAnsi" w:cstheme="majorHAnsi"/>
                <w:noProof/>
              </w:rPr>
              <w:t>16</w:t>
            </w:r>
            <w:r w:rsidRPr="0058609A">
              <w:rPr>
                <w:rFonts w:asciiTheme="majorHAnsi" w:hAnsiTheme="majorHAnsi" w:cstheme="majorHAnsi"/>
              </w:rPr>
              <w:fldChar w:fldCharType="end"/>
            </w:r>
            <w:bookmarkEnd w:id="17"/>
            <w:r w:rsidRPr="000A1880">
              <w:rPr>
                <w:rFonts w:asciiTheme="majorHAnsi" w:hAnsiTheme="majorHAnsi" w:cstheme="majorHAnsi"/>
              </w:rPr>
              <w:t>.</w:t>
            </w:r>
            <w:r w:rsidRPr="00BD3182">
              <w:rPr>
                <w:rFonts w:asciiTheme="majorHAnsi" w:hAnsiTheme="majorHAnsi" w:cstheme="majorHAnsi"/>
              </w:rPr>
              <w:t xml:space="preserve"> Pre-fiscal and post-fiscal </w:t>
            </w:r>
            <w:r>
              <w:rPr>
                <w:rFonts w:asciiTheme="majorHAnsi" w:hAnsiTheme="majorHAnsi" w:cstheme="majorHAnsi"/>
              </w:rPr>
              <w:t>Gini coefficients</w:t>
            </w:r>
            <w:r w:rsidRPr="00BD3182">
              <w:rPr>
                <w:rFonts w:asciiTheme="majorHAnsi" w:hAnsiTheme="majorHAnsi" w:cstheme="majorHAnsi"/>
              </w:rPr>
              <w:t xml:space="preserve"> by </w:t>
            </w:r>
            <w:r>
              <w:rPr>
                <w:rFonts w:asciiTheme="majorHAnsi" w:hAnsiTheme="majorHAnsi" w:cstheme="majorHAnsi"/>
              </w:rPr>
              <w:t>presence of dependents with care needs</w:t>
            </w:r>
          </w:p>
          <w:p w14:paraId="0899049E" w14:textId="574398E0" w:rsidR="00590A33" w:rsidRDefault="00590A33" w:rsidP="00590A33">
            <w:pPr>
              <w:jc w:val="both"/>
              <w:rPr>
                <w:rFonts w:asciiTheme="majorHAnsi" w:hAnsiTheme="majorHAnsi" w:cstheme="majorHAnsi"/>
              </w:rPr>
            </w:pPr>
            <w:r w:rsidRPr="0058609A">
              <w:rPr>
                <w:rFonts w:asciiTheme="majorHAnsi" w:hAnsiTheme="majorHAnsi" w:cstheme="majorHAnsi"/>
              </w:rPr>
              <w:t>(Gini Index)</w:t>
            </w:r>
          </w:p>
        </w:tc>
      </w:tr>
      <w:tr w:rsidR="00590A33" w14:paraId="4749FF51" w14:textId="77777777" w:rsidTr="00290D56">
        <w:trPr>
          <w:trHeight w:val="3528"/>
        </w:trPr>
        <w:tc>
          <w:tcPr>
            <w:tcW w:w="9000" w:type="dxa"/>
          </w:tcPr>
          <w:p w14:paraId="14276B3F" w14:textId="066D88F2" w:rsidR="00590A33" w:rsidRDefault="00590A33" w:rsidP="003B08AF">
            <w:pPr>
              <w:jc w:val="both"/>
              <w:rPr>
                <w:rFonts w:asciiTheme="majorHAnsi" w:hAnsiTheme="majorHAnsi" w:cstheme="majorHAnsi"/>
              </w:rPr>
            </w:pPr>
            <w:r>
              <w:rPr>
                <w:noProof/>
              </w:rPr>
              <w:drawing>
                <wp:inline distT="0" distB="0" distL="0" distR="0" wp14:anchorId="02D1A93D" wp14:editId="61E805B4">
                  <wp:extent cx="5358765" cy="2305878"/>
                  <wp:effectExtent l="0" t="0" r="0" b="0"/>
                  <wp:docPr id="151339553" name="Chart 1">
                    <a:extLst xmlns:a="http://schemas.openxmlformats.org/drawingml/2006/main">
                      <a:ext uri="{FF2B5EF4-FFF2-40B4-BE49-F238E27FC236}">
                        <a16:creationId xmlns:a16="http://schemas.microsoft.com/office/drawing/2014/main" id="{B6BA88D3-82E1-4137-A033-82D72A72A2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r w:rsidR="00590A33" w14:paraId="03F583CD" w14:textId="77777777" w:rsidTr="00290D56">
        <w:trPr>
          <w:trHeight w:val="222"/>
        </w:trPr>
        <w:tc>
          <w:tcPr>
            <w:tcW w:w="9000" w:type="dxa"/>
          </w:tcPr>
          <w:p w14:paraId="7CD49F70" w14:textId="77777777" w:rsidR="00590A33" w:rsidRDefault="00590A33" w:rsidP="003B08AF">
            <w:pPr>
              <w:jc w:val="both"/>
              <w:rPr>
                <w:rFonts w:asciiTheme="majorHAnsi" w:hAnsiTheme="majorHAnsi" w:cstheme="majorHAnsi"/>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59415320" w14:textId="3B0B05A0" w:rsidR="00D86FD4" w:rsidRDefault="004026B3" w:rsidP="00AA0413">
      <w:pPr>
        <w:spacing w:after="0"/>
        <w:jc w:val="both"/>
        <w:rPr>
          <w:rFonts w:asciiTheme="majorHAnsi" w:hAnsiTheme="majorHAnsi" w:cstheme="majorHAnsi"/>
        </w:rPr>
      </w:pPr>
      <w:r>
        <w:rPr>
          <w:rFonts w:asciiTheme="majorHAnsi" w:hAnsiTheme="majorHAnsi" w:cstheme="majorHAnsi"/>
        </w:rPr>
        <w:lastRenderedPageBreak/>
        <w:t xml:space="preserve">The drivers </w:t>
      </w:r>
      <w:r w:rsidR="00900799">
        <w:rPr>
          <w:rFonts w:asciiTheme="majorHAnsi" w:hAnsiTheme="majorHAnsi" w:cstheme="majorHAnsi"/>
        </w:rPr>
        <w:t xml:space="preserve">behind </w:t>
      </w:r>
      <w:r>
        <w:rPr>
          <w:rFonts w:asciiTheme="majorHAnsi" w:hAnsiTheme="majorHAnsi" w:cstheme="majorHAnsi"/>
        </w:rPr>
        <w:t xml:space="preserve">these findings can be better understood </w:t>
      </w:r>
      <w:r w:rsidR="0070624E">
        <w:rPr>
          <w:rFonts w:asciiTheme="majorHAnsi" w:hAnsiTheme="majorHAnsi" w:cstheme="majorHAnsi"/>
        </w:rPr>
        <w:t>by d</w:t>
      </w:r>
      <w:r w:rsidR="00924761">
        <w:rPr>
          <w:rFonts w:asciiTheme="majorHAnsi" w:hAnsiTheme="majorHAnsi" w:cstheme="majorHAnsi"/>
        </w:rPr>
        <w:t>ecomposing</w:t>
      </w:r>
      <w:r w:rsidR="00B9209F">
        <w:rPr>
          <w:rFonts w:asciiTheme="majorHAnsi" w:hAnsiTheme="majorHAnsi" w:cstheme="majorHAnsi"/>
        </w:rPr>
        <w:t xml:space="preserve"> the impact of the relevant fiscal instruments on each household</w:t>
      </w:r>
      <w:r w:rsidR="008F1D23">
        <w:rPr>
          <w:rFonts w:asciiTheme="majorHAnsi" w:hAnsiTheme="majorHAnsi" w:cstheme="majorHAnsi"/>
        </w:rPr>
        <w:t xml:space="preserve"> </w:t>
      </w:r>
      <w:r w:rsidR="00900799">
        <w:rPr>
          <w:rFonts w:asciiTheme="majorHAnsi" w:hAnsiTheme="majorHAnsi" w:cstheme="majorHAnsi"/>
        </w:rPr>
        <w:t xml:space="preserve">with care-dependents </w:t>
      </w:r>
      <w:r w:rsidR="00D86FD4">
        <w:rPr>
          <w:rFonts w:asciiTheme="majorHAnsi" w:hAnsiTheme="majorHAnsi" w:cstheme="majorHAnsi"/>
        </w:rPr>
        <w:t>(</w:t>
      </w:r>
      <w:r w:rsidR="00951E86">
        <w:rPr>
          <w:rFonts w:asciiTheme="majorHAnsi" w:hAnsiTheme="majorHAnsi" w:cstheme="majorHAnsi"/>
        </w:rPr>
        <w:fldChar w:fldCharType="begin"/>
      </w:r>
      <w:r w:rsidR="00951E86">
        <w:rPr>
          <w:rFonts w:asciiTheme="majorHAnsi" w:hAnsiTheme="majorHAnsi" w:cstheme="majorHAnsi"/>
        </w:rPr>
        <w:instrText xml:space="preserve"> REF _Ref177112451 \h </w:instrText>
      </w:r>
      <w:r w:rsidR="00ED3BB5">
        <w:rPr>
          <w:rFonts w:asciiTheme="majorHAnsi" w:hAnsiTheme="majorHAnsi" w:cstheme="majorHAnsi"/>
        </w:rPr>
        <w:instrText xml:space="preserve"> \* MERGEFORMAT </w:instrText>
      </w:r>
      <w:r w:rsidR="00951E86">
        <w:rPr>
          <w:rFonts w:asciiTheme="majorHAnsi" w:hAnsiTheme="majorHAnsi" w:cstheme="majorHAnsi"/>
        </w:rPr>
      </w:r>
      <w:r w:rsidR="00951E86">
        <w:rPr>
          <w:rFonts w:asciiTheme="majorHAnsi" w:hAnsiTheme="majorHAnsi" w:cstheme="majorHAnsi"/>
        </w:rPr>
        <w:fldChar w:fldCharType="separate"/>
      </w:r>
      <w:r w:rsidR="00B71781" w:rsidRPr="00557D52">
        <w:rPr>
          <w:rFonts w:asciiTheme="majorHAnsi" w:hAnsiTheme="majorHAnsi" w:cstheme="majorHAnsi"/>
        </w:rPr>
        <w:t xml:space="preserve">Figure </w:t>
      </w:r>
      <w:r w:rsidR="00B71781">
        <w:rPr>
          <w:rFonts w:asciiTheme="majorHAnsi" w:hAnsiTheme="majorHAnsi" w:cstheme="majorHAnsi"/>
        </w:rPr>
        <w:t>17</w:t>
      </w:r>
      <w:r w:rsidR="00951E86">
        <w:rPr>
          <w:rFonts w:asciiTheme="majorHAnsi" w:hAnsiTheme="majorHAnsi" w:cstheme="majorHAnsi"/>
        </w:rPr>
        <w:fldChar w:fldCharType="end"/>
      </w:r>
      <w:r w:rsidR="00984057">
        <w:rPr>
          <w:rFonts w:asciiTheme="majorHAnsi" w:hAnsiTheme="majorHAnsi" w:cstheme="majorHAnsi"/>
        </w:rPr>
        <w:t>)</w:t>
      </w:r>
      <w:r w:rsidR="0070624E">
        <w:rPr>
          <w:rFonts w:asciiTheme="majorHAnsi" w:hAnsiTheme="majorHAnsi" w:cstheme="majorHAnsi"/>
        </w:rPr>
        <w:t>. The analysis shows that</w:t>
      </w:r>
      <w:r w:rsidR="004F385D">
        <w:rPr>
          <w:rFonts w:asciiTheme="majorHAnsi" w:hAnsiTheme="majorHAnsi" w:cstheme="majorHAnsi"/>
        </w:rPr>
        <w:t>, while</w:t>
      </w:r>
      <w:r w:rsidR="008F1D23">
        <w:rPr>
          <w:rFonts w:asciiTheme="majorHAnsi" w:hAnsiTheme="majorHAnsi" w:cstheme="majorHAnsi"/>
        </w:rPr>
        <w:t xml:space="preserve"> </w:t>
      </w:r>
      <w:r w:rsidR="00912C50">
        <w:rPr>
          <w:rFonts w:asciiTheme="majorHAnsi" w:hAnsiTheme="majorHAnsi" w:cstheme="majorHAnsi"/>
        </w:rPr>
        <w:t>direct transfers</w:t>
      </w:r>
      <w:r w:rsidR="00A56735">
        <w:rPr>
          <w:rFonts w:asciiTheme="majorHAnsi" w:hAnsiTheme="majorHAnsi" w:cstheme="majorHAnsi"/>
        </w:rPr>
        <w:t xml:space="preserve"> are the most effective </w:t>
      </w:r>
      <w:r w:rsidR="00524BBD">
        <w:rPr>
          <w:rFonts w:asciiTheme="majorHAnsi" w:hAnsiTheme="majorHAnsi" w:cstheme="majorHAnsi"/>
        </w:rPr>
        <w:t>poverty-reducing instrument</w:t>
      </w:r>
      <w:r w:rsidR="00CB135A">
        <w:rPr>
          <w:rFonts w:asciiTheme="majorHAnsi" w:hAnsiTheme="majorHAnsi" w:cstheme="majorHAnsi"/>
        </w:rPr>
        <w:t xml:space="preserve"> for households with intensive care needs,</w:t>
      </w:r>
      <w:r w:rsidR="00610417">
        <w:rPr>
          <w:rFonts w:asciiTheme="majorHAnsi" w:hAnsiTheme="majorHAnsi" w:cstheme="majorHAnsi"/>
        </w:rPr>
        <w:t xml:space="preserve"> </w:t>
      </w:r>
      <w:r w:rsidR="004F385D">
        <w:rPr>
          <w:rFonts w:asciiTheme="majorHAnsi" w:hAnsiTheme="majorHAnsi" w:cstheme="majorHAnsi"/>
        </w:rPr>
        <w:t xml:space="preserve">their effect is the strongest </w:t>
      </w:r>
      <w:r w:rsidR="00610417">
        <w:rPr>
          <w:rFonts w:asciiTheme="majorHAnsi" w:hAnsiTheme="majorHAnsi" w:cstheme="majorHAnsi"/>
        </w:rPr>
        <w:t>for lone mothers.</w:t>
      </w:r>
      <w:r w:rsidR="00BF22C5">
        <w:rPr>
          <w:rFonts w:asciiTheme="majorHAnsi" w:hAnsiTheme="majorHAnsi" w:cstheme="majorHAnsi"/>
        </w:rPr>
        <w:t xml:space="preserve"> </w:t>
      </w:r>
      <w:r w:rsidR="00C1678F">
        <w:rPr>
          <w:rFonts w:asciiTheme="majorHAnsi" w:hAnsiTheme="majorHAnsi" w:cstheme="majorHAnsi"/>
        </w:rPr>
        <w:t>D</w:t>
      </w:r>
      <w:r w:rsidR="00BF22C5">
        <w:rPr>
          <w:rFonts w:asciiTheme="majorHAnsi" w:hAnsiTheme="majorHAnsi" w:cstheme="majorHAnsi"/>
        </w:rPr>
        <w:t xml:space="preserve">irect transfers increase the income of lone mothers with care dependents by 5 percent, whereas </w:t>
      </w:r>
      <w:r w:rsidR="00C1678F">
        <w:rPr>
          <w:rFonts w:asciiTheme="majorHAnsi" w:hAnsiTheme="majorHAnsi" w:cstheme="majorHAnsi"/>
        </w:rPr>
        <w:t xml:space="preserve">the figures for </w:t>
      </w:r>
      <w:r w:rsidR="00AA3736">
        <w:rPr>
          <w:rFonts w:asciiTheme="majorHAnsi" w:hAnsiTheme="majorHAnsi" w:cstheme="majorHAnsi"/>
        </w:rPr>
        <w:t>other compositions with care-dependents are approximately 3 percent</w:t>
      </w:r>
      <w:r w:rsidR="00DA41B3">
        <w:rPr>
          <w:rFonts w:asciiTheme="majorHAnsi" w:hAnsiTheme="majorHAnsi" w:cstheme="majorHAnsi"/>
        </w:rPr>
        <w:t>.</w:t>
      </w:r>
      <w:r w:rsidR="00CB135A">
        <w:rPr>
          <w:rFonts w:asciiTheme="majorHAnsi" w:hAnsiTheme="majorHAnsi" w:cstheme="majorHAnsi"/>
        </w:rPr>
        <w:t xml:space="preserve"> </w:t>
      </w:r>
      <w:r w:rsidR="004C6900">
        <w:rPr>
          <w:rFonts w:asciiTheme="majorHAnsi" w:hAnsiTheme="majorHAnsi" w:cstheme="majorHAnsi"/>
        </w:rPr>
        <w:t>Th</w:t>
      </w:r>
      <w:r w:rsidR="00DA41B3">
        <w:rPr>
          <w:rFonts w:asciiTheme="majorHAnsi" w:hAnsiTheme="majorHAnsi" w:cstheme="majorHAnsi"/>
        </w:rPr>
        <w:t>e</w:t>
      </w:r>
      <w:r w:rsidR="00A760E3">
        <w:rPr>
          <w:rFonts w:asciiTheme="majorHAnsi" w:hAnsiTheme="majorHAnsi" w:cstheme="majorHAnsi"/>
        </w:rPr>
        <w:t xml:space="preserve"> effect from direct transfers</w:t>
      </w:r>
      <w:r w:rsidR="00BF22C5">
        <w:rPr>
          <w:rFonts w:asciiTheme="majorHAnsi" w:hAnsiTheme="majorHAnsi" w:cstheme="majorHAnsi"/>
        </w:rPr>
        <w:t xml:space="preserve"> on care-intensive households</w:t>
      </w:r>
      <w:r w:rsidR="004C6900">
        <w:rPr>
          <w:rFonts w:asciiTheme="majorHAnsi" w:hAnsiTheme="majorHAnsi" w:cstheme="majorHAnsi"/>
        </w:rPr>
        <w:t xml:space="preserve"> is </w:t>
      </w:r>
      <w:r w:rsidR="00CB135A">
        <w:rPr>
          <w:rFonts w:asciiTheme="majorHAnsi" w:hAnsiTheme="majorHAnsi" w:cstheme="majorHAnsi"/>
        </w:rPr>
        <w:t xml:space="preserve">not surprising considering </w:t>
      </w:r>
      <w:r w:rsidR="00BF22C5">
        <w:rPr>
          <w:rFonts w:asciiTheme="majorHAnsi" w:hAnsiTheme="majorHAnsi" w:cstheme="majorHAnsi"/>
        </w:rPr>
        <w:t>these</w:t>
      </w:r>
      <w:r w:rsidR="004C6900">
        <w:rPr>
          <w:rFonts w:asciiTheme="majorHAnsi" w:hAnsiTheme="majorHAnsi" w:cstheme="majorHAnsi"/>
        </w:rPr>
        <w:t xml:space="preserve"> households</w:t>
      </w:r>
      <w:r w:rsidR="00CB135A">
        <w:rPr>
          <w:rFonts w:asciiTheme="majorHAnsi" w:hAnsiTheme="majorHAnsi" w:cstheme="majorHAnsi"/>
        </w:rPr>
        <w:t xml:space="preserve"> are more likely to be poor.</w:t>
      </w:r>
      <w:r w:rsidR="00BD234E">
        <w:rPr>
          <w:rFonts w:asciiTheme="majorHAnsi" w:hAnsiTheme="majorHAnsi" w:cstheme="majorHAnsi"/>
        </w:rPr>
        <w:t xml:space="preserve"> In-kind education transfers</w:t>
      </w:r>
      <w:r w:rsidR="004C6900">
        <w:rPr>
          <w:rFonts w:asciiTheme="majorHAnsi" w:hAnsiTheme="majorHAnsi" w:cstheme="majorHAnsi"/>
        </w:rPr>
        <w:t xml:space="preserve"> are </w:t>
      </w:r>
      <w:r w:rsidR="009258CE">
        <w:rPr>
          <w:rFonts w:asciiTheme="majorHAnsi" w:hAnsiTheme="majorHAnsi" w:cstheme="majorHAnsi"/>
        </w:rPr>
        <w:t>important</w:t>
      </w:r>
      <w:r w:rsidR="004C6900">
        <w:rPr>
          <w:rFonts w:asciiTheme="majorHAnsi" w:hAnsiTheme="majorHAnsi" w:cstheme="majorHAnsi"/>
        </w:rPr>
        <w:t xml:space="preserve"> </w:t>
      </w:r>
      <w:r w:rsidR="009258CE">
        <w:rPr>
          <w:rFonts w:asciiTheme="majorHAnsi" w:hAnsiTheme="majorHAnsi" w:cstheme="majorHAnsi"/>
        </w:rPr>
        <w:t>pro-poor instruments, particularly among adult couples with care dependents.</w:t>
      </w:r>
      <w:r w:rsidR="008F7027" w:rsidRPr="008F7027">
        <w:rPr>
          <w:rFonts w:asciiTheme="majorHAnsi" w:hAnsiTheme="majorHAnsi" w:cstheme="majorHAnsi"/>
        </w:rPr>
        <w:t xml:space="preserve"> </w:t>
      </w:r>
      <w:r w:rsidR="008F7027">
        <w:rPr>
          <w:rFonts w:asciiTheme="majorHAnsi" w:hAnsiTheme="majorHAnsi" w:cstheme="majorHAnsi"/>
        </w:rPr>
        <w:t xml:space="preserve">Adult couple with care-dependents benefit the most from </w:t>
      </w:r>
      <w:r w:rsidR="008F7027" w:rsidRPr="006F5D55">
        <w:rPr>
          <w:rFonts w:asciiTheme="majorHAnsi" w:hAnsiTheme="majorHAnsi" w:cstheme="majorHAnsi"/>
          <w:i/>
          <w:iCs/>
        </w:rPr>
        <w:t>Juntos</w:t>
      </w:r>
      <w:r w:rsidR="008F7027">
        <w:rPr>
          <w:rFonts w:asciiTheme="majorHAnsi" w:hAnsiTheme="majorHAnsi" w:cstheme="majorHAnsi"/>
        </w:rPr>
        <w:t xml:space="preserve">, whereas lone mothers and other households with </w:t>
      </w:r>
      <w:r w:rsidR="009658A4">
        <w:rPr>
          <w:rFonts w:asciiTheme="majorHAnsi" w:hAnsiTheme="majorHAnsi" w:cstheme="majorHAnsi"/>
        </w:rPr>
        <w:t>care-</w:t>
      </w:r>
      <w:r w:rsidR="008F7027">
        <w:rPr>
          <w:rFonts w:asciiTheme="majorHAnsi" w:hAnsiTheme="majorHAnsi" w:cstheme="majorHAnsi"/>
        </w:rPr>
        <w:t xml:space="preserve">dependents benefit the most from </w:t>
      </w:r>
      <w:r w:rsidR="008F7027" w:rsidRPr="006F5D55">
        <w:rPr>
          <w:rFonts w:asciiTheme="majorHAnsi" w:hAnsiTheme="majorHAnsi" w:cstheme="majorHAnsi"/>
          <w:i/>
          <w:iCs/>
        </w:rPr>
        <w:t>Pensi</w:t>
      </w:r>
      <w:r w:rsidR="008F7027">
        <w:rPr>
          <w:rFonts w:asciiTheme="majorHAnsi" w:hAnsiTheme="majorHAnsi" w:cstheme="majorHAnsi"/>
          <w:i/>
          <w:iCs/>
        </w:rPr>
        <w:t>ó</w:t>
      </w:r>
      <w:r w:rsidR="008F7027" w:rsidRPr="006F5D55">
        <w:rPr>
          <w:rFonts w:asciiTheme="majorHAnsi" w:hAnsiTheme="majorHAnsi" w:cstheme="majorHAnsi"/>
          <w:i/>
          <w:iCs/>
        </w:rPr>
        <w:t>n 65</w:t>
      </w:r>
      <w:r w:rsidR="008F7027">
        <w:rPr>
          <w:rFonts w:asciiTheme="majorHAnsi" w:hAnsiTheme="majorHAnsi" w:cstheme="majorHAnsi"/>
        </w:rPr>
        <w:t>.</w:t>
      </w:r>
    </w:p>
    <w:p w14:paraId="59552767" w14:textId="77777777" w:rsidR="00B80CB9" w:rsidRDefault="00B80CB9" w:rsidP="00AA0413">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9350"/>
      </w:tblGrid>
      <w:tr w:rsidR="00557D52" w14:paraId="514E8F1E" w14:textId="77777777" w:rsidTr="003B08AF">
        <w:tc>
          <w:tcPr>
            <w:tcW w:w="9350" w:type="dxa"/>
          </w:tcPr>
          <w:p w14:paraId="7A8E1FCE" w14:textId="1D380BB4" w:rsidR="00557D52" w:rsidRPr="00557D52" w:rsidRDefault="00557D52" w:rsidP="00557D52">
            <w:pPr>
              <w:jc w:val="both"/>
              <w:rPr>
                <w:rFonts w:asciiTheme="majorHAnsi" w:hAnsiTheme="majorHAnsi" w:cstheme="majorHAnsi"/>
              </w:rPr>
            </w:pPr>
            <w:bookmarkStart w:id="18" w:name="_Ref177112451"/>
            <w:r w:rsidRPr="00557D52">
              <w:rPr>
                <w:rFonts w:asciiTheme="majorHAnsi" w:hAnsiTheme="majorHAnsi" w:cstheme="majorHAnsi"/>
              </w:rPr>
              <w:t xml:space="preserve">Figure </w:t>
            </w:r>
            <w:r w:rsidRPr="00557D52">
              <w:rPr>
                <w:rFonts w:asciiTheme="majorHAnsi" w:hAnsiTheme="majorHAnsi" w:cstheme="majorHAnsi"/>
              </w:rPr>
              <w:fldChar w:fldCharType="begin"/>
            </w:r>
            <w:r w:rsidRPr="00557D52">
              <w:rPr>
                <w:rFonts w:asciiTheme="majorHAnsi" w:hAnsiTheme="majorHAnsi" w:cstheme="majorHAnsi"/>
              </w:rPr>
              <w:instrText xml:space="preserve"> SEQ Figure \* ARABIC </w:instrText>
            </w:r>
            <w:r w:rsidRPr="00557D52">
              <w:rPr>
                <w:rFonts w:asciiTheme="majorHAnsi" w:hAnsiTheme="majorHAnsi" w:cstheme="majorHAnsi"/>
              </w:rPr>
              <w:fldChar w:fldCharType="separate"/>
            </w:r>
            <w:r w:rsidR="00B71781">
              <w:rPr>
                <w:rFonts w:asciiTheme="majorHAnsi" w:hAnsiTheme="majorHAnsi" w:cstheme="majorHAnsi"/>
                <w:noProof/>
              </w:rPr>
              <w:t>17</w:t>
            </w:r>
            <w:r w:rsidRPr="00557D52">
              <w:rPr>
                <w:rFonts w:asciiTheme="majorHAnsi" w:hAnsiTheme="majorHAnsi" w:cstheme="majorHAnsi"/>
              </w:rPr>
              <w:fldChar w:fldCharType="end"/>
            </w:r>
            <w:bookmarkEnd w:id="18"/>
            <w:r w:rsidRPr="00557D52">
              <w:rPr>
                <w:rFonts w:asciiTheme="majorHAnsi" w:hAnsiTheme="majorHAnsi" w:cstheme="majorHAnsi"/>
              </w:rPr>
              <w:t>. Impact of fiscal instruments by presence of dependents with care needs</w:t>
            </w:r>
          </w:p>
          <w:p w14:paraId="2D0FC6E8" w14:textId="39671C6B" w:rsidR="00557D52" w:rsidRDefault="00557D52" w:rsidP="00557D52">
            <w:pPr>
              <w:jc w:val="both"/>
              <w:rPr>
                <w:rFonts w:asciiTheme="majorHAnsi" w:hAnsiTheme="majorHAnsi" w:cstheme="majorHAnsi"/>
              </w:rPr>
            </w:pPr>
            <w:r w:rsidRPr="00557D52">
              <w:rPr>
                <w:rFonts w:asciiTheme="majorHAnsi" w:hAnsiTheme="majorHAnsi" w:cstheme="majorHAnsi"/>
              </w:rPr>
              <w:t>(as a share of household market income)</w:t>
            </w:r>
          </w:p>
        </w:tc>
      </w:tr>
      <w:tr w:rsidR="00557D52" w14:paraId="0B14FFD8" w14:textId="77777777" w:rsidTr="003B08AF">
        <w:tc>
          <w:tcPr>
            <w:tcW w:w="9350" w:type="dxa"/>
          </w:tcPr>
          <w:p w14:paraId="4DD54DC3" w14:textId="2C82F37C" w:rsidR="00557D52" w:rsidRDefault="00557D52" w:rsidP="00557D52">
            <w:pPr>
              <w:jc w:val="both"/>
              <w:rPr>
                <w:rFonts w:asciiTheme="majorHAnsi" w:hAnsiTheme="majorHAnsi" w:cstheme="majorHAnsi"/>
              </w:rPr>
            </w:pPr>
            <w:r>
              <w:rPr>
                <w:noProof/>
              </w:rPr>
              <w:drawing>
                <wp:inline distT="0" distB="0" distL="0" distR="0" wp14:anchorId="36C3A8ED" wp14:editId="0B344D83">
                  <wp:extent cx="6064370" cy="3260785"/>
                  <wp:effectExtent l="0" t="0" r="0" b="0"/>
                  <wp:docPr id="980857089" name="Chart 1">
                    <a:extLst xmlns:a="http://schemas.openxmlformats.org/drawingml/2006/main">
                      <a:ext uri="{FF2B5EF4-FFF2-40B4-BE49-F238E27FC236}">
                        <a16:creationId xmlns:a16="http://schemas.microsoft.com/office/drawing/2014/main" id="{00000000-0008-0000-05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r w:rsidR="00557D52" w14:paraId="2056D3C5" w14:textId="77777777" w:rsidTr="003B08AF">
        <w:tc>
          <w:tcPr>
            <w:tcW w:w="9350" w:type="dxa"/>
          </w:tcPr>
          <w:p w14:paraId="3FA7B851" w14:textId="77777777" w:rsidR="00557D52" w:rsidRDefault="00557D52" w:rsidP="00557D52">
            <w:pPr>
              <w:jc w:val="both"/>
              <w:rPr>
                <w:rFonts w:asciiTheme="majorHAnsi" w:hAnsiTheme="majorHAnsi" w:cstheme="majorHAnsi"/>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6CBF0161" w14:textId="77777777" w:rsidR="00557D52" w:rsidRDefault="00557D52" w:rsidP="00AA0413">
      <w:pPr>
        <w:spacing w:after="0"/>
        <w:jc w:val="both"/>
        <w:rPr>
          <w:rFonts w:asciiTheme="majorHAnsi" w:hAnsiTheme="majorHAnsi" w:cstheme="majorHAnsi"/>
        </w:rPr>
      </w:pPr>
    </w:p>
    <w:p w14:paraId="5C2CEA25" w14:textId="77777777" w:rsidR="00557D52" w:rsidRDefault="00557D52" w:rsidP="00557D52">
      <w:pPr>
        <w:spacing w:after="0"/>
        <w:jc w:val="both"/>
        <w:rPr>
          <w:rFonts w:asciiTheme="majorHAnsi" w:hAnsiTheme="majorHAnsi" w:cstheme="majorHAnsi"/>
        </w:rPr>
      </w:pPr>
      <w:r>
        <w:rPr>
          <w:rFonts w:asciiTheme="majorHAnsi" w:hAnsiTheme="majorHAnsi" w:cstheme="majorHAnsi"/>
        </w:rPr>
        <w:t xml:space="preserve">Indirect taxes, particularly VAT (IGV) largely offset the poverty-reducing effect of direct transfers, particularly in households with care-dependents with an adult couple (reduction of 8.2 percent of their income). More generally, indirect taxes reduce income of households with care intensive needs by 7 to 8 percent. </w:t>
      </w:r>
      <w:r w:rsidRPr="006C2C21">
        <w:rPr>
          <w:rFonts w:asciiTheme="majorHAnsi" w:hAnsiTheme="majorHAnsi" w:cstheme="majorHAnsi"/>
        </w:rPr>
        <w:t xml:space="preserve">Direct taxes have a smaller impact, reducing </w:t>
      </w:r>
      <w:r w:rsidRPr="00367E6A">
        <w:rPr>
          <w:rFonts w:asciiTheme="majorHAnsi" w:hAnsiTheme="majorHAnsi" w:cstheme="majorHAnsi"/>
        </w:rPr>
        <w:t>income by 1-</w:t>
      </w:r>
      <w:r>
        <w:rPr>
          <w:rFonts w:asciiTheme="majorHAnsi" w:hAnsiTheme="majorHAnsi" w:cstheme="majorHAnsi"/>
        </w:rPr>
        <w:t>1.5</w:t>
      </w:r>
      <w:r w:rsidRPr="00367E6A">
        <w:rPr>
          <w:rFonts w:asciiTheme="majorHAnsi" w:hAnsiTheme="majorHAnsi" w:cstheme="majorHAnsi"/>
        </w:rPr>
        <w:t xml:space="preserve"> percent across</w:t>
      </w:r>
      <w:r w:rsidRPr="006C2C21">
        <w:rPr>
          <w:rFonts w:asciiTheme="majorHAnsi" w:hAnsiTheme="majorHAnsi" w:cstheme="majorHAnsi"/>
        </w:rPr>
        <w:t xml:space="preserve"> </w:t>
      </w:r>
      <w:r>
        <w:rPr>
          <w:rFonts w:asciiTheme="majorHAnsi" w:hAnsiTheme="majorHAnsi" w:cstheme="majorHAnsi"/>
        </w:rPr>
        <w:t xml:space="preserve">care-dependent </w:t>
      </w:r>
      <w:r w:rsidRPr="006C2C21">
        <w:rPr>
          <w:rFonts w:asciiTheme="majorHAnsi" w:hAnsiTheme="majorHAnsi" w:cstheme="majorHAnsi"/>
        </w:rPr>
        <w:t>household types.</w:t>
      </w:r>
    </w:p>
    <w:p w14:paraId="421F8733" w14:textId="77777777" w:rsidR="00557D52" w:rsidRDefault="00557D52" w:rsidP="00557D52">
      <w:pPr>
        <w:spacing w:after="0"/>
        <w:jc w:val="both"/>
        <w:rPr>
          <w:rFonts w:asciiTheme="majorHAnsi" w:hAnsiTheme="majorHAnsi" w:cstheme="majorHAnsi"/>
        </w:rPr>
      </w:pPr>
    </w:p>
    <w:p w14:paraId="4E928FBC" w14:textId="77777777" w:rsidR="00557D52" w:rsidRDefault="00557D52" w:rsidP="00557D52">
      <w:pPr>
        <w:spacing w:after="0"/>
        <w:jc w:val="both"/>
        <w:rPr>
          <w:rFonts w:asciiTheme="majorHAnsi" w:hAnsiTheme="majorHAnsi" w:cstheme="majorHAnsi"/>
        </w:rPr>
      </w:pPr>
      <w:r w:rsidRPr="006C2C21">
        <w:rPr>
          <w:rFonts w:asciiTheme="majorHAnsi" w:hAnsiTheme="majorHAnsi" w:cstheme="majorHAnsi"/>
        </w:rPr>
        <w:t>The net effect</w:t>
      </w:r>
      <w:r>
        <w:rPr>
          <w:rFonts w:asciiTheme="majorHAnsi" w:hAnsiTheme="majorHAnsi" w:cstheme="majorHAnsi"/>
        </w:rPr>
        <w:t xml:space="preserve"> (monetary impact)</w:t>
      </w:r>
      <w:r w:rsidRPr="006C2C21">
        <w:rPr>
          <w:rFonts w:asciiTheme="majorHAnsi" w:hAnsiTheme="majorHAnsi" w:cstheme="majorHAnsi"/>
        </w:rPr>
        <w:t xml:space="preserve"> of </w:t>
      </w:r>
      <w:r>
        <w:rPr>
          <w:rFonts w:asciiTheme="majorHAnsi" w:hAnsiTheme="majorHAnsi" w:cstheme="majorHAnsi"/>
        </w:rPr>
        <w:t>the set of</w:t>
      </w:r>
      <w:r w:rsidRPr="006C2C21">
        <w:rPr>
          <w:rFonts w:asciiTheme="majorHAnsi" w:hAnsiTheme="majorHAnsi" w:cstheme="majorHAnsi"/>
        </w:rPr>
        <w:t xml:space="preserve"> fiscal instruments </w:t>
      </w:r>
      <w:r>
        <w:rPr>
          <w:rFonts w:asciiTheme="majorHAnsi" w:hAnsiTheme="majorHAnsi" w:cstheme="majorHAnsi"/>
        </w:rPr>
        <w:t>is consistently negative across all types with presence of care-dependents, confirming the regressive nature of the Peruvian fiscal system. However, there are important differences across household types. Adult couple with care-dependents bear the largest negative net effect, whereas lone mothers bear the smallest. Overall, t</w:t>
      </w:r>
      <w:r w:rsidRPr="006C2C21">
        <w:rPr>
          <w:rFonts w:asciiTheme="majorHAnsi" w:hAnsiTheme="majorHAnsi" w:cstheme="majorHAnsi"/>
        </w:rPr>
        <w:t xml:space="preserve">hese findings underscore the importance of considering </w:t>
      </w:r>
      <w:r>
        <w:rPr>
          <w:rFonts w:asciiTheme="majorHAnsi" w:hAnsiTheme="majorHAnsi" w:cstheme="majorHAnsi"/>
        </w:rPr>
        <w:t xml:space="preserve">the vulnerability-to-poverty nature of caregiving needs, </w:t>
      </w:r>
      <w:r w:rsidRPr="006C2C21">
        <w:rPr>
          <w:rFonts w:asciiTheme="majorHAnsi" w:hAnsiTheme="majorHAnsi" w:cstheme="majorHAnsi"/>
        </w:rPr>
        <w:t>in fiscal incidence analysis.</w:t>
      </w:r>
    </w:p>
    <w:p w14:paraId="36A68519" w14:textId="77777777" w:rsidR="00557D52" w:rsidRDefault="00557D52" w:rsidP="00AA0413">
      <w:pPr>
        <w:spacing w:after="0"/>
        <w:jc w:val="both"/>
        <w:rPr>
          <w:rFonts w:asciiTheme="majorHAnsi" w:hAnsiTheme="majorHAnsi" w:cstheme="majorHAnsi"/>
        </w:rPr>
      </w:pPr>
    </w:p>
    <w:p w14:paraId="444D02A1" w14:textId="26030755" w:rsidR="001205F9" w:rsidRDefault="00255FEF" w:rsidP="00557D52">
      <w:pPr>
        <w:pStyle w:val="Heading3"/>
      </w:pPr>
      <w:r>
        <w:lastRenderedPageBreak/>
        <w:t>Relia</w:t>
      </w:r>
      <w:r w:rsidR="001205F9" w:rsidRPr="00E2214B">
        <w:t>nce on Agriculture</w:t>
      </w:r>
      <w:r w:rsidR="00557D52">
        <w:t xml:space="preserve"> as a Source of Income</w:t>
      </w:r>
    </w:p>
    <w:p w14:paraId="4F27A975" w14:textId="77777777" w:rsidR="00767239" w:rsidRDefault="00767239" w:rsidP="00767239">
      <w:pPr>
        <w:spacing w:after="0"/>
        <w:jc w:val="both"/>
        <w:rPr>
          <w:rFonts w:asciiTheme="majorHAnsi" w:hAnsiTheme="majorHAnsi" w:cstheme="majorHAnsi"/>
        </w:rPr>
      </w:pPr>
    </w:p>
    <w:p w14:paraId="0474F3F9" w14:textId="3F257FB0" w:rsidR="003429E6" w:rsidRDefault="00767239" w:rsidP="00453969">
      <w:pPr>
        <w:spacing w:after="0"/>
        <w:jc w:val="both"/>
        <w:rPr>
          <w:rFonts w:asciiTheme="majorHAnsi" w:hAnsiTheme="majorHAnsi" w:cstheme="majorHAnsi"/>
        </w:rPr>
      </w:pPr>
      <w:r>
        <w:rPr>
          <w:rFonts w:asciiTheme="majorHAnsi" w:hAnsiTheme="majorHAnsi" w:cstheme="majorHAnsi"/>
        </w:rPr>
        <w:t xml:space="preserve">With respect to the typology on reliance on agriculture, </w:t>
      </w:r>
      <w:r w:rsidR="001A2E17">
        <w:rPr>
          <w:rFonts w:asciiTheme="majorHAnsi" w:hAnsiTheme="majorHAnsi" w:cstheme="majorHAnsi"/>
        </w:rPr>
        <w:t xml:space="preserve">the fiscal policy </w:t>
      </w:r>
      <w:r w:rsidR="007E23D4">
        <w:rPr>
          <w:rFonts w:asciiTheme="majorHAnsi" w:hAnsiTheme="majorHAnsi" w:cstheme="majorHAnsi"/>
        </w:rPr>
        <w:t>exhibits a dual</w:t>
      </w:r>
      <w:r w:rsidR="0064516E">
        <w:rPr>
          <w:rFonts w:asciiTheme="majorHAnsi" w:hAnsiTheme="majorHAnsi" w:cstheme="majorHAnsi"/>
        </w:rPr>
        <w:t xml:space="preserve"> impact</w:t>
      </w:r>
      <w:r w:rsidR="007E23D4">
        <w:rPr>
          <w:rFonts w:asciiTheme="majorHAnsi" w:hAnsiTheme="majorHAnsi" w:cstheme="majorHAnsi"/>
        </w:rPr>
        <w:t xml:space="preserve">: taxes and transfers reduce poverty among agricultural households </w:t>
      </w:r>
      <w:r w:rsidR="0064516E">
        <w:rPr>
          <w:rFonts w:asciiTheme="majorHAnsi" w:hAnsiTheme="majorHAnsi" w:cstheme="majorHAnsi"/>
        </w:rPr>
        <w:t>but</w:t>
      </w:r>
      <w:r w:rsidR="007E23D4">
        <w:rPr>
          <w:rFonts w:asciiTheme="majorHAnsi" w:hAnsiTheme="majorHAnsi" w:cstheme="majorHAnsi"/>
        </w:rPr>
        <w:t xml:space="preserve"> increas</w:t>
      </w:r>
      <w:r w:rsidR="0064516E">
        <w:rPr>
          <w:rFonts w:asciiTheme="majorHAnsi" w:hAnsiTheme="majorHAnsi" w:cstheme="majorHAnsi"/>
        </w:rPr>
        <w:t>e</w:t>
      </w:r>
      <w:r w:rsidR="007E23D4">
        <w:rPr>
          <w:rFonts w:asciiTheme="majorHAnsi" w:hAnsiTheme="majorHAnsi" w:cstheme="majorHAnsi"/>
        </w:rPr>
        <w:t xml:space="preserve"> poverty </w:t>
      </w:r>
      <w:r w:rsidR="00FE5613">
        <w:rPr>
          <w:rFonts w:asciiTheme="majorHAnsi" w:hAnsiTheme="majorHAnsi" w:cstheme="majorHAnsi"/>
        </w:rPr>
        <w:t>among</w:t>
      </w:r>
      <w:r w:rsidR="007E23D4">
        <w:rPr>
          <w:rFonts w:asciiTheme="majorHAnsi" w:hAnsiTheme="majorHAnsi" w:cstheme="majorHAnsi"/>
        </w:rPr>
        <w:t xml:space="preserve"> </w:t>
      </w:r>
      <w:r w:rsidR="005130D7">
        <w:rPr>
          <w:rFonts w:asciiTheme="majorHAnsi" w:hAnsiTheme="majorHAnsi" w:cstheme="majorHAnsi"/>
        </w:rPr>
        <w:t xml:space="preserve">non-agricultural households. </w:t>
      </w:r>
      <w:r w:rsidR="00FE5613">
        <w:rPr>
          <w:rFonts w:asciiTheme="majorHAnsi" w:hAnsiTheme="majorHAnsi" w:cstheme="majorHAnsi"/>
        </w:rPr>
        <w:t>Fiscal</w:t>
      </w:r>
      <w:r w:rsidR="00F76EBE">
        <w:rPr>
          <w:rFonts w:asciiTheme="majorHAnsi" w:hAnsiTheme="majorHAnsi" w:cstheme="majorHAnsi"/>
        </w:rPr>
        <w:t xml:space="preserve"> policy </w:t>
      </w:r>
      <w:r w:rsidR="00A77A5D">
        <w:rPr>
          <w:rFonts w:asciiTheme="majorHAnsi" w:hAnsiTheme="majorHAnsi" w:cstheme="majorHAnsi"/>
        </w:rPr>
        <w:t>decreases the</w:t>
      </w:r>
      <w:r w:rsidR="00AB6E21">
        <w:rPr>
          <w:rFonts w:asciiTheme="majorHAnsi" w:hAnsiTheme="majorHAnsi" w:cstheme="majorHAnsi"/>
        </w:rPr>
        <w:t xml:space="preserve"> poverty rate</w:t>
      </w:r>
      <w:r w:rsidR="00A77A5D">
        <w:rPr>
          <w:rFonts w:asciiTheme="majorHAnsi" w:hAnsiTheme="majorHAnsi" w:cstheme="majorHAnsi"/>
        </w:rPr>
        <w:t xml:space="preserve"> for agricultural households</w:t>
      </w:r>
      <w:r w:rsidR="00596B1A">
        <w:rPr>
          <w:rFonts w:asciiTheme="majorHAnsi" w:hAnsiTheme="majorHAnsi" w:cstheme="majorHAnsi"/>
        </w:rPr>
        <w:t xml:space="preserve"> by</w:t>
      </w:r>
      <w:r w:rsidR="00AB6E21">
        <w:rPr>
          <w:rFonts w:asciiTheme="majorHAnsi" w:hAnsiTheme="majorHAnsi" w:cstheme="majorHAnsi"/>
        </w:rPr>
        <w:t xml:space="preserve"> 2.5 percentage points</w:t>
      </w:r>
      <w:r w:rsidR="00D61B21">
        <w:rPr>
          <w:rFonts w:asciiTheme="majorHAnsi" w:hAnsiTheme="majorHAnsi" w:cstheme="majorHAnsi"/>
        </w:rPr>
        <w:t xml:space="preserve"> – </w:t>
      </w:r>
      <w:r w:rsidR="00AB6E21">
        <w:rPr>
          <w:rFonts w:asciiTheme="majorHAnsi" w:hAnsiTheme="majorHAnsi" w:cstheme="majorHAnsi"/>
        </w:rPr>
        <w:t>from</w:t>
      </w:r>
      <w:r w:rsidR="00D61B21">
        <w:rPr>
          <w:rFonts w:asciiTheme="majorHAnsi" w:hAnsiTheme="majorHAnsi" w:cstheme="majorHAnsi"/>
        </w:rPr>
        <w:t xml:space="preserve"> 28.8 percent to </w:t>
      </w:r>
      <w:r w:rsidR="00596B1A">
        <w:rPr>
          <w:rFonts w:asciiTheme="majorHAnsi" w:hAnsiTheme="majorHAnsi" w:cstheme="majorHAnsi"/>
        </w:rPr>
        <w:t>2</w:t>
      </w:r>
      <w:r w:rsidR="00D61B21">
        <w:rPr>
          <w:rFonts w:asciiTheme="majorHAnsi" w:hAnsiTheme="majorHAnsi" w:cstheme="majorHAnsi"/>
        </w:rPr>
        <w:t>6.3 percent</w:t>
      </w:r>
      <w:r w:rsidR="00705696">
        <w:rPr>
          <w:rFonts w:asciiTheme="majorHAnsi" w:hAnsiTheme="majorHAnsi" w:cstheme="majorHAnsi"/>
        </w:rPr>
        <w:t xml:space="preserve">. </w:t>
      </w:r>
      <w:r w:rsidR="00705696" w:rsidRPr="00705696">
        <w:rPr>
          <w:rFonts w:asciiTheme="majorHAnsi" w:hAnsiTheme="majorHAnsi" w:cstheme="majorHAnsi"/>
        </w:rPr>
        <w:t xml:space="preserve">Conversely, it increases the poverty rate for non-agricultural households by 2.6 percentage points, rising </w:t>
      </w:r>
      <w:r w:rsidR="000710AE">
        <w:rPr>
          <w:rFonts w:asciiTheme="majorHAnsi" w:hAnsiTheme="majorHAnsi" w:cstheme="majorHAnsi"/>
        </w:rPr>
        <w:t>from 13.3. percent to 15.9 percent</w:t>
      </w:r>
      <w:r w:rsidR="00557D52">
        <w:rPr>
          <w:rFonts w:asciiTheme="majorHAnsi" w:hAnsiTheme="majorHAnsi" w:cstheme="majorHAnsi"/>
        </w:rPr>
        <w:t xml:space="preserve"> (</w:t>
      </w:r>
      <w:r w:rsidR="00557D52">
        <w:rPr>
          <w:rFonts w:asciiTheme="majorHAnsi" w:hAnsiTheme="majorHAnsi" w:cstheme="majorHAnsi"/>
        </w:rPr>
        <w:fldChar w:fldCharType="begin"/>
      </w:r>
      <w:r w:rsidR="00557D52">
        <w:rPr>
          <w:rFonts w:asciiTheme="majorHAnsi" w:hAnsiTheme="majorHAnsi" w:cstheme="majorHAnsi"/>
        </w:rPr>
        <w:instrText xml:space="preserve"> REF _Ref177115550 \h </w:instrText>
      </w:r>
      <w:r w:rsidR="00557D52">
        <w:rPr>
          <w:rFonts w:asciiTheme="majorHAnsi" w:hAnsiTheme="majorHAnsi" w:cstheme="majorHAnsi"/>
        </w:rPr>
      </w:r>
      <w:r w:rsidR="00557D52">
        <w:rPr>
          <w:rFonts w:asciiTheme="majorHAnsi" w:hAnsiTheme="majorHAnsi" w:cstheme="majorHAnsi"/>
        </w:rPr>
        <w:fldChar w:fldCharType="separate"/>
      </w:r>
      <w:r w:rsidR="00B71781" w:rsidRPr="00557D52">
        <w:rPr>
          <w:rFonts w:asciiTheme="majorHAnsi" w:hAnsiTheme="majorHAnsi" w:cstheme="majorHAnsi"/>
        </w:rPr>
        <w:t xml:space="preserve">Figure </w:t>
      </w:r>
      <w:r w:rsidR="00B71781">
        <w:rPr>
          <w:rFonts w:asciiTheme="majorHAnsi" w:hAnsiTheme="majorHAnsi" w:cstheme="majorHAnsi"/>
          <w:noProof/>
        </w:rPr>
        <w:t>18</w:t>
      </w:r>
      <w:r w:rsidR="00557D52">
        <w:rPr>
          <w:rFonts w:asciiTheme="majorHAnsi" w:hAnsiTheme="majorHAnsi" w:cstheme="majorHAnsi"/>
        </w:rPr>
        <w:fldChar w:fldCharType="end"/>
      </w:r>
      <w:r w:rsidR="00557D52">
        <w:rPr>
          <w:rFonts w:asciiTheme="majorHAnsi" w:hAnsiTheme="majorHAnsi" w:cstheme="majorHAnsi"/>
        </w:rPr>
        <w:t>)</w:t>
      </w:r>
      <w:r w:rsidR="000230E0">
        <w:rPr>
          <w:rFonts w:asciiTheme="majorHAnsi" w:hAnsiTheme="majorHAnsi" w:cstheme="majorHAnsi"/>
        </w:rPr>
        <w:t xml:space="preserve">. </w:t>
      </w:r>
      <w:r w:rsidR="00D867D0">
        <w:rPr>
          <w:rFonts w:asciiTheme="majorHAnsi" w:hAnsiTheme="majorHAnsi" w:cstheme="majorHAnsi"/>
        </w:rPr>
        <w:t xml:space="preserve">However, </w:t>
      </w:r>
      <w:r w:rsidR="000A1C27">
        <w:rPr>
          <w:rFonts w:asciiTheme="majorHAnsi" w:hAnsiTheme="majorHAnsi" w:cstheme="majorHAnsi"/>
        </w:rPr>
        <w:t xml:space="preserve">when analyzing the change in </w:t>
      </w:r>
      <w:r w:rsidR="00EA7A25">
        <w:rPr>
          <w:rFonts w:asciiTheme="majorHAnsi" w:hAnsiTheme="majorHAnsi" w:cstheme="majorHAnsi"/>
        </w:rPr>
        <w:t>absolute</w:t>
      </w:r>
      <w:r w:rsidR="000A1C27">
        <w:rPr>
          <w:rFonts w:asciiTheme="majorHAnsi" w:hAnsiTheme="majorHAnsi" w:cstheme="majorHAnsi"/>
        </w:rPr>
        <w:t xml:space="preserve"> terms is clear that the fiscal system is </w:t>
      </w:r>
      <w:r w:rsidR="00CE02D7" w:rsidRPr="00CE02D7">
        <w:rPr>
          <w:rFonts w:asciiTheme="majorHAnsi" w:hAnsiTheme="majorHAnsi" w:cstheme="majorHAnsi"/>
        </w:rPr>
        <w:t xml:space="preserve">leaving more people in poverty than it is lifting out, as </w:t>
      </w:r>
      <w:r w:rsidR="00557D52">
        <w:rPr>
          <w:rFonts w:asciiTheme="majorHAnsi" w:hAnsiTheme="majorHAnsi" w:cstheme="majorHAnsi"/>
        </w:rPr>
        <w:t>more</w:t>
      </w:r>
      <w:r w:rsidR="00CE02D7" w:rsidRPr="00CE02D7">
        <w:rPr>
          <w:rFonts w:asciiTheme="majorHAnsi" w:hAnsiTheme="majorHAnsi" w:cstheme="majorHAnsi"/>
        </w:rPr>
        <w:t xml:space="preserve"> individuals become impoverished after accounting for taxes and transfers.</w:t>
      </w:r>
      <w:r w:rsidR="00A702AB">
        <w:rPr>
          <w:rFonts w:asciiTheme="majorHAnsi" w:hAnsiTheme="majorHAnsi" w:cstheme="majorHAnsi"/>
        </w:rPr>
        <w:t xml:space="preserve"> </w:t>
      </w:r>
      <w:r w:rsidR="00B47392" w:rsidRPr="00B47392">
        <w:rPr>
          <w:rFonts w:asciiTheme="majorHAnsi" w:hAnsiTheme="majorHAnsi" w:cstheme="majorHAnsi"/>
        </w:rPr>
        <w:t>A similar pattern is observed when comparing rural and urban households: fiscal policy reduces poverty in rural areas while increasing poverty in urban areas, with comparable percentage changes. This duality demonstrates that the fiscal system is more effective in improving welfare for agricultural and rural families while placing a greater burden on non-agricultural and urban households.</w:t>
      </w:r>
    </w:p>
    <w:p w14:paraId="757A091C" w14:textId="77777777" w:rsidR="00B47392" w:rsidRDefault="00B47392" w:rsidP="00453969">
      <w:pPr>
        <w:spacing w:after="0"/>
        <w:jc w:val="both"/>
        <w:rPr>
          <w:rFonts w:asciiTheme="majorHAnsi" w:hAnsiTheme="majorHAnsi" w:cstheme="majorHAnsi"/>
        </w:rPr>
      </w:pPr>
    </w:p>
    <w:p w14:paraId="581C0157" w14:textId="21A7C7BC" w:rsidR="00767239" w:rsidRDefault="0055533D" w:rsidP="00453969">
      <w:pPr>
        <w:spacing w:after="0"/>
        <w:jc w:val="both"/>
        <w:rPr>
          <w:rFonts w:asciiTheme="majorHAnsi" w:hAnsiTheme="majorHAnsi" w:cstheme="majorHAnsi"/>
        </w:rPr>
      </w:pPr>
      <w:r w:rsidRPr="0055533D">
        <w:rPr>
          <w:rFonts w:asciiTheme="majorHAnsi" w:hAnsiTheme="majorHAnsi" w:cstheme="majorHAnsi"/>
        </w:rPr>
        <w:t xml:space="preserve">In terms of inequality, the fiscal system reduces it for both agricultural and non-agricultural households, though the effect is more pronounced for agricultural households. </w:t>
      </w:r>
      <w:r w:rsidR="00231168" w:rsidRPr="00231168">
        <w:rPr>
          <w:rFonts w:asciiTheme="majorHAnsi" w:hAnsiTheme="majorHAnsi" w:cstheme="majorHAnsi"/>
        </w:rPr>
        <w:t>The Gini coefficient for agricultural households decreases by 2.4 points, from 42.6 to 40.2, largely due to social programs such as Juntos, which target rural populations</w:t>
      </w:r>
      <w:r w:rsidR="00557D52">
        <w:rPr>
          <w:rFonts w:asciiTheme="majorHAnsi" w:hAnsiTheme="majorHAnsi" w:cstheme="majorHAnsi"/>
        </w:rPr>
        <w:t xml:space="preserve"> (</w:t>
      </w:r>
      <w:r w:rsidR="00557D52">
        <w:rPr>
          <w:rFonts w:asciiTheme="majorHAnsi" w:hAnsiTheme="majorHAnsi" w:cstheme="majorHAnsi"/>
        </w:rPr>
        <w:fldChar w:fldCharType="begin"/>
      </w:r>
      <w:r w:rsidR="00557D52">
        <w:rPr>
          <w:rFonts w:asciiTheme="majorHAnsi" w:hAnsiTheme="majorHAnsi" w:cstheme="majorHAnsi"/>
        </w:rPr>
        <w:instrText xml:space="preserve"> REF _Ref177115562 \h </w:instrText>
      </w:r>
      <w:r w:rsidR="00557D52">
        <w:rPr>
          <w:rFonts w:asciiTheme="majorHAnsi" w:hAnsiTheme="majorHAnsi" w:cstheme="majorHAnsi"/>
        </w:rPr>
      </w:r>
      <w:r w:rsidR="00557D52">
        <w:rPr>
          <w:rFonts w:asciiTheme="majorHAnsi" w:hAnsiTheme="majorHAnsi" w:cstheme="majorHAnsi"/>
        </w:rPr>
        <w:fldChar w:fldCharType="separate"/>
      </w:r>
      <w:r w:rsidR="00B71781" w:rsidRPr="00557D52">
        <w:rPr>
          <w:rFonts w:asciiTheme="majorHAnsi" w:hAnsiTheme="majorHAnsi" w:cstheme="majorHAnsi"/>
        </w:rPr>
        <w:t xml:space="preserve">Figure </w:t>
      </w:r>
      <w:r w:rsidR="00B71781">
        <w:rPr>
          <w:rFonts w:asciiTheme="majorHAnsi" w:hAnsiTheme="majorHAnsi" w:cstheme="majorHAnsi"/>
          <w:noProof/>
        </w:rPr>
        <w:t>19</w:t>
      </w:r>
      <w:r w:rsidR="00557D52">
        <w:rPr>
          <w:rFonts w:asciiTheme="majorHAnsi" w:hAnsiTheme="majorHAnsi" w:cstheme="majorHAnsi"/>
        </w:rPr>
        <w:fldChar w:fldCharType="end"/>
      </w:r>
      <w:r w:rsidR="00557D52">
        <w:rPr>
          <w:rFonts w:asciiTheme="majorHAnsi" w:hAnsiTheme="majorHAnsi" w:cstheme="majorHAnsi"/>
        </w:rPr>
        <w:t>)</w:t>
      </w:r>
      <w:r w:rsidR="00231168" w:rsidRPr="00231168">
        <w:rPr>
          <w:rFonts w:asciiTheme="majorHAnsi" w:hAnsiTheme="majorHAnsi" w:cstheme="majorHAnsi"/>
        </w:rPr>
        <w:t>. By increasing the incomes of those at the lower end of the distribution, these programs help to reduce poverty and narrow the income distribution. It is important to note, however, that agricultural households tend to have a more unequal income distribution than non-agricultural households, a trend that is also true for rural households. This disparity may be explained by the greater concentration of agricultural households at the bottom of the income distribution, while non-agricultural households are more evenly distributed.</w:t>
      </w:r>
    </w:p>
    <w:p w14:paraId="72E44FA2" w14:textId="77777777" w:rsidR="00557D52" w:rsidRDefault="00557D52" w:rsidP="00453969">
      <w:pPr>
        <w:spacing w:after="0"/>
        <w:jc w:val="both"/>
        <w:rPr>
          <w:rFonts w:asciiTheme="majorHAnsi" w:hAnsiTheme="majorHAnsi" w:cstheme="majorHAnsi"/>
        </w:rPr>
      </w:pPr>
    </w:p>
    <w:tbl>
      <w:tblPr>
        <w:tblStyle w:val="TableGrid"/>
        <w:tblW w:w="9600" w:type="dxa"/>
        <w:jc w:val="cente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4848"/>
        <w:gridCol w:w="4970"/>
      </w:tblGrid>
      <w:tr w:rsidR="00557D52" w:rsidRPr="00796ADB" w14:paraId="7599199B" w14:textId="77777777" w:rsidTr="00557D52">
        <w:trPr>
          <w:trHeight w:val="493"/>
          <w:jc w:val="center"/>
        </w:trPr>
        <w:tc>
          <w:tcPr>
            <w:tcW w:w="4740" w:type="dxa"/>
          </w:tcPr>
          <w:p w14:paraId="5D5D9362" w14:textId="53C4A3D1" w:rsidR="00557D52" w:rsidRPr="00557D52" w:rsidRDefault="00557D52" w:rsidP="00557D52">
            <w:pPr>
              <w:jc w:val="both"/>
              <w:textAlignment w:val="baseline"/>
              <w:rPr>
                <w:rFonts w:asciiTheme="majorHAnsi" w:hAnsiTheme="majorHAnsi" w:cstheme="majorHAnsi"/>
              </w:rPr>
            </w:pPr>
            <w:bookmarkStart w:id="19" w:name="_Ref177115550"/>
            <w:r w:rsidRPr="00557D52">
              <w:rPr>
                <w:rFonts w:asciiTheme="majorHAnsi" w:hAnsiTheme="majorHAnsi" w:cstheme="majorHAnsi"/>
              </w:rPr>
              <w:t xml:space="preserve">Figure </w:t>
            </w:r>
            <w:r w:rsidRPr="00557D52">
              <w:rPr>
                <w:rFonts w:asciiTheme="majorHAnsi" w:hAnsiTheme="majorHAnsi" w:cstheme="majorHAnsi"/>
              </w:rPr>
              <w:fldChar w:fldCharType="begin"/>
            </w:r>
            <w:r w:rsidRPr="00557D52">
              <w:rPr>
                <w:rFonts w:asciiTheme="majorHAnsi" w:hAnsiTheme="majorHAnsi" w:cstheme="majorHAnsi"/>
              </w:rPr>
              <w:instrText xml:space="preserve"> SEQ Figure \* ARABIC </w:instrText>
            </w:r>
            <w:r w:rsidRPr="00557D52">
              <w:rPr>
                <w:rFonts w:asciiTheme="majorHAnsi" w:hAnsiTheme="majorHAnsi" w:cstheme="majorHAnsi"/>
              </w:rPr>
              <w:fldChar w:fldCharType="separate"/>
            </w:r>
            <w:r w:rsidR="00B71781">
              <w:rPr>
                <w:rFonts w:asciiTheme="majorHAnsi" w:hAnsiTheme="majorHAnsi" w:cstheme="majorHAnsi"/>
                <w:noProof/>
              </w:rPr>
              <w:t>18</w:t>
            </w:r>
            <w:r w:rsidRPr="00557D52">
              <w:rPr>
                <w:rFonts w:asciiTheme="majorHAnsi" w:hAnsiTheme="majorHAnsi" w:cstheme="majorHAnsi"/>
              </w:rPr>
              <w:fldChar w:fldCharType="end"/>
            </w:r>
            <w:bookmarkEnd w:id="19"/>
            <w:r w:rsidRPr="00557D52">
              <w:rPr>
                <w:rFonts w:asciiTheme="majorHAnsi" w:hAnsiTheme="majorHAnsi" w:cstheme="majorHAnsi"/>
              </w:rPr>
              <w:t>. Pre-fiscal and post-fiscal poverty rates by dependence on agriculture</w:t>
            </w:r>
          </w:p>
          <w:p w14:paraId="6E5EBBD1" w14:textId="69EBFFF3" w:rsidR="00557D52" w:rsidRPr="00AD4E23" w:rsidRDefault="00557D52" w:rsidP="00557D52">
            <w:pPr>
              <w:jc w:val="both"/>
              <w:textAlignment w:val="baseline"/>
              <w:rPr>
                <w:rFonts w:asciiTheme="majorHAnsi" w:hAnsiTheme="majorHAnsi" w:cstheme="majorHAnsi"/>
                <w:sz w:val="20"/>
                <w:szCs w:val="20"/>
              </w:rPr>
            </w:pPr>
            <w:r w:rsidRPr="00557D52">
              <w:rPr>
                <w:rFonts w:asciiTheme="majorHAnsi" w:hAnsiTheme="majorHAnsi" w:cstheme="majorHAnsi"/>
              </w:rPr>
              <w:t>(Headcount poverty rate using national poverty line)</w:t>
            </w:r>
          </w:p>
        </w:tc>
        <w:tc>
          <w:tcPr>
            <w:tcW w:w="4860" w:type="dxa"/>
          </w:tcPr>
          <w:p w14:paraId="6EA7A40F" w14:textId="1883776E" w:rsidR="00557D52" w:rsidRDefault="00557D52" w:rsidP="00557D52">
            <w:pPr>
              <w:jc w:val="both"/>
              <w:textAlignment w:val="baseline"/>
              <w:rPr>
                <w:rFonts w:asciiTheme="majorHAnsi" w:hAnsiTheme="majorHAnsi" w:cstheme="majorHAnsi"/>
              </w:rPr>
            </w:pPr>
            <w:bookmarkStart w:id="20" w:name="_Ref177115562"/>
            <w:r w:rsidRPr="00557D52">
              <w:rPr>
                <w:rFonts w:asciiTheme="majorHAnsi" w:hAnsiTheme="majorHAnsi" w:cstheme="majorHAnsi"/>
              </w:rPr>
              <w:t xml:space="preserve">Figure </w:t>
            </w:r>
            <w:r w:rsidRPr="00557D52">
              <w:rPr>
                <w:rFonts w:asciiTheme="majorHAnsi" w:hAnsiTheme="majorHAnsi" w:cstheme="majorHAnsi"/>
              </w:rPr>
              <w:fldChar w:fldCharType="begin"/>
            </w:r>
            <w:r w:rsidRPr="00557D52">
              <w:rPr>
                <w:rFonts w:asciiTheme="majorHAnsi" w:hAnsiTheme="majorHAnsi" w:cstheme="majorHAnsi"/>
              </w:rPr>
              <w:instrText xml:space="preserve"> SEQ Figure \* ARABIC </w:instrText>
            </w:r>
            <w:r w:rsidRPr="00557D52">
              <w:rPr>
                <w:rFonts w:asciiTheme="majorHAnsi" w:hAnsiTheme="majorHAnsi" w:cstheme="majorHAnsi"/>
              </w:rPr>
              <w:fldChar w:fldCharType="separate"/>
            </w:r>
            <w:r w:rsidR="00B71781">
              <w:rPr>
                <w:rFonts w:asciiTheme="majorHAnsi" w:hAnsiTheme="majorHAnsi" w:cstheme="majorHAnsi"/>
                <w:noProof/>
              </w:rPr>
              <w:t>19</w:t>
            </w:r>
            <w:r w:rsidRPr="00557D52">
              <w:rPr>
                <w:rFonts w:asciiTheme="majorHAnsi" w:hAnsiTheme="majorHAnsi" w:cstheme="majorHAnsi"/>
              </w:rPr>
              <w:fldChar w:fldCharType="end"/>
            </w:r>
            <w:bookmarkEnd w:id="20"/>
            <w:r>
              <w:rPr>
                <w:rFonts w:asciiTheme="majorHAnsi" w:hAnsiTheme="majorHAnsi" w:cstheme="majorHAnsi"/>
              </w:rPr>
              <w:t>. Pre-fiscal and post-fiscal Gini coefficients by dependence on agriculture</w:t>
            </w:r>
          </w:p>
          <w:p w14:paraId="2AAACD77" w14:textId="304DB814" w:rsidR="00557D52" w:rsidRPr="00AD4E23" w:rsidRDefault="00557D52" w:rsidP="00557D52">
            <w:pPr>
              <w:jc w:val="both"/>
              <w:textAlignment w:val="baseline"/>
              <w:rPr>
                <w:rFonts w:asciiTheme="majorHAnsi" w:hAnsiTheme="majorHAnsi" w:cstheme="majorHAnsi"/>
                <w:sz w:val="20"/>
                <w:szCs w:val="20"/>
              </w:rPr>
            </w:pPr>
            <w:r w:rsidRPr="00557D52">
              <w:rPr>
                <w:rFonts w:asciiTheme="majorHAnsi" w:hAnsiTheme="majorHAnsi" w:cstheme="majorHAnsi"/>
              </w:rPr>
              <w:t>(Gini Index)</w:t>
            </w:r>
          </w:p>
        </w:tc>
      </w:tr>
      <w:tr w:rsidR="00557D52" w:rsidRPr="00796ADB" w14:paraId="6BC14F11" w14:textId="77777777" w:rsidTr="00557D52">
        <w:trPr>
          <w:trHeight w:val="4377"/>
          <w:jc w:val="center"/>
        </w:trPr>
        <w:tc>
          <w:tcPr>
            <w:tcW w:w="4740" w:type="dxa"/>
          </w:tcPr>
          <w:p w14:paraId="0D78452D" w14:textId="522C251F" w:rsidR="00557D52" w:rsidRPr="00557D52" w:rsidRDefault="00557D52" w:rsidP="003B08AF">
            <w:pPr>
              <w:jc w:val="both"/>
              <w:rPr>
                <w:rFonts w:asciiTheme="majorHAnsi" w:hAnsiTheme="majorHAnsi" w:cstheme="majorHAnsi"/>
                <w:sz w:val="20"/>
                <w:szCs w:val="20"/>
              </w:rPr>
            </w:pPr>
            <w:r w:rsidRPr="00557D52">
              <w:rPr>
                <w:rFonts w:asciiTheme="majorHAnsi" w:hAnsiTheme="majorHAnsi" w:cstheme="majorHAnsi"/>
                <w:noProof/>
              </w:rPr>
              <w:drawing>
                <wp:inline distT="0" distB="0" distL="0" distR="0" wp14:anchorId="0298FC2B" wp14:editId="0A81AE14">
                  <wp:extent cx="2941607" cy="2760453"/>
                  <wp:effectExtent l="0" t="0" r="0" b="1905"/>
                  <wp:docPr id="21" name="Chart 21">
                    <a:extLst xmlns:a="http://schemas.openxmlformats.org/drawingml/2006/main">
                      <a:ext uri="{FF2B5EF4-FFF2-40B4-BE49-F238E27FC236}">
                        <a16:creationId xmlns:a16="http://schemas.microsoft.com/office/drawing/2014/main" id="{00000000-0008-0000-06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c>
          <w:tcPr>
            <w:tcW w:w="4860" w:type="dxa"/>
          </w:tcPr>
          <w:p w14:paraId="5A02782F" w14:textId="77777777" w:rsidR="00557D52" w:rsidRDefault="00557D52" w:rsidP="003B08AF">
            <w:pPr>
              <w:jc w:val="both"/>
              <w:rPr>
                <w:rFonts w:asciiTheme="majorHAnsi" w:hAnsiTheme="majorHAnsi" w:cstheme="majorHAnsi"/>
                <w:sz w:val="20"/>
                <w:szCs w:val="20"/>
              </w:rPr>
            </w:pPr>
          </w:p>
          <w:p w14:paraId="2BC97CB1" w14:textId="0A2CB0A1" w:rsidR="00557D52" w:rsidRPr="00796ADB" w:rsidRDefault="00557D52" w:rsidP="003B08AF">
            <w:pPr>
              <w:jc w:val="both"/>
              <w:rPr>
                <w:rFonts w:asciiTheme="majorHAnsi" w:hAnsiTheme="majorHAnsi" w:cstheme="majorHAnsi"/>
                <w:sz w:val="20"/>
                <w:szCs w:val="20"/>
              </w:rPr>
            </w:pPr>
            <w:r>
              <w:rPr>
                <w:noProof/>
              </w:rPr>
              <w:drawing>
                <wp:inline distT="0" distB="0" distL="0" distR="0" wp14:anchorId="6F80BE0B" wp14:editId="5F9C33DB">
                  <wp:extent cx="3019246" cy="2587924"/>
                  <wp:effectExtent l="0" t="0" r="0" b="3175"/>
                  <wp:docPr id="24" name="Chart 24">
                    <a:extLst xmlns:a="http://schemas.openxmlformats.org/drawingml/2006/main">
                      <a:ext uri="{FF2B5EF4-FFF2-40B4-BE49-F238E27FC236}">
                        <a16:creationId xmlns:a16="http://schemas.microsoft.com/office/drawing/2014/main" id="{00000000-0008-0000-06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r w:rsidR="00557D52" w:rsidRPr="00796ADB" w14:paraId="5F78A972" w14:textId="77777777" w:rsidTr="00557D52">
        <w:trPr>
          <w:trHeight w:val="479"/>
          <w:jc w:val="center"/>
        </w:trPr>
        <w:tc>
          <w:tcPr>
            <w:tcW w:w="4740" w:type="dxa"/>
          </w:tcPr>
          <w:p w14:paraId="720324ED" w14:textId="77777777" w:rsidR="00557D52" w:rsidRPr="0035551A" w:rsidRDefault="00557D52" w:rsidP="003B08AF">
            <w:pPr>
              <w:jc w:val="both"/>
              <w:rPr>
                <w:rFonts w:asciiTheme="majorHAnsi" w:hAnsiTheme="majorHAnsi" w:cstheme="majorHAnsi"/>
                <w:sz w:val="18"/>
                <w:szCs w:val="18"/>
              </w:rPr>
            </w:pPr>
            <w:r w:rsidRPr="0046569B">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c>
          <w:tcPr>
            <w:tcW w:w="4860" w:type="dxa"/>
          </w:tcPr>
          <w:p w14:paraId="7DAC8BB5" w14:textId="77777777" w:rsidR="00557D52" w:rsidRPr="0035551A" w:rsidRDefault="00557D52" w:rsidP="003B08AF">
            <w:pPr>
              <w:keepNext/>
              <w:jc w:val="both"/>
              <w:rPr>
                <w:rFonts w:asciiTheme="majorHAnsi" w:hAnsiTheme="majorHAnsi" w:cstheme="majorHAnsi"/>
                <w:sz w:val="18"/>
                <w:szCs w:val="18"/>
              </w:rPr>
            </w:pPr>
            <w:r w:rsidRPr="0046569B">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34F23A3F" w14:textId="77777777" w:rsidR="00557D52" w:rsidRDefault="00557D52" w:rsidP="00453969">
      <w:pPr>
        <w:spacing w:after="0"/>
        <w:jc w:val="both"/>
        <w:rPr>
          <w:rFonts w:asciiTheme="majorHAnsi" w:hAnsiTheme="majorHAnsi" w:cstheme="majorHAnsi"/>
        </w:rPr>
      </w:pPr>
    </w:p>
    <w:p w14:paraId="698A7306" w14:textId="3DD9FBDE" w:rsidR="00F27138" w:rsidRDefault="00EB3D18" w:rsidP="00035C7B">
      <w:pPr>
        <w:spacing w:after="0"/>
        <w:jc w:val="both"/>
        <w:rPr>
          <w:rFonts w:asciiTheme="majorHAnsi" w:hAnsiTheme="majorHAnsi" w:cstheme="majorHAnsi"/>
        </w:rPr>
      </w:pPr>
      <w:r w:rsidRPr="00EB3D18">
        <w:rPr>
          <w:rFonts w:asciiTheme="majorHAnsi" w:hAnsiTheme="majorHAnsi" w:cstheme="majorHAnsi"/>
        </w:rPr>
        <w:t>When</w:t>
      </w:r>
      <w:r w:rsidR="00842DAC">
        <w:rPr>
          <w:rFonts w:asciiTheme="majorHAnsi" w:hAnsiTheme="majorHAnsi" w:cstheme="majorHAnsi"/>
        </w:rPr>
        <w:t xml:space="preserve"> analyzing</w:t>
      </w:r>
      <w:r w:rsidR="00DF2DE8">
        <w:rPr>
          <w:rFonts w:asciiTheme="majorHAnsi" w:hAnsiTheme="majorHAnsi" w:cstheme="majorHAnsi"/>
        </w:rPr>
        <w:t xml:space="preserve"> the fiscal system in more </w:t>
      </w:r>
      <w:r w:rsidR="00842DAC">
        <w:rPr>
          <w:rFonts w:asciiTheme="majorHAnsi" w:hAnsiTheme="majorHAnsi" w:cstheme="majorHAnsi"/>
        </w:rPr>
        <w:t xml:space="preserve">detail, it </w:t>
      </w:r>
      <w:r w:rsidR="00DF2DE8">
        <w:rPr>
          <w:rFonts w:asciiTheme="majorHAnsi" w:hAnsiTheme="majorHAnsi" w:cstheme="majorHAnsi"/>
        </w:rPr>
        <w:t xml:space="preserve">becomes evident </w:t>
      </w:r>
      <w:r w:rsidR="00842DAC">
        <w:rPr>
          <w:rFonts w:asciiTheme="majorHAnsi" w:hAnsiTheme="majorHAnsi" w:cstheme="majorHAnsi"/>
        </w:rPr>
        <w:t>that agricultural households benefit</w:t>
      </w:r>
      <w:r w:rsidR="00AA2EF9">
        <w:rPr>
          <w:rFonts w:asciiTheme="majorHAnsi" w:hAnsiTheme="majorHAnsi" w:cstheme="majorHAnsi"/>
        </w:rPr>
        <w:t xml:space="preserve"> much more from monetary and non-monetary transfers, while non-agricultural households bear a </w:t>
      </w:r>
      <w:r w:rsidR="00DF2DE8">
        <w:rPr>
          <w:rFonts w:asciiTheme="majorHAnsi" w:hAnsiTheme="majorHAnsi" w:cstheme="majorHAnsi"/>
        </w:rPr>
        <w:t>larger</w:t>
      </w:r>
      <w:r w:rsidR="00AA2EF9">
        <w:rPr>
          <w:rFonts w:asciiTheme="majorHAnsi" w:hAnsiTheme="majorHAnsi" w:cstheme="majorHAnsi"/>
        </w:rPr>
        <w:t xml:space="preserve"> burden of </w:t>
      </w:r>
      <w:r w:rsidR="00FF2031">
        <w:rPr>
          <w:rFonts w:asciiTheme="majorHAnsi" w:hAnsiTheme="majorHAnsi" w:cstheme="majorHAnsi"/>
        </w:rPr>
        <w:t>indirect tax</w:t>
      </w:r>
      <w:r w:rsidR="00DF2DE8">
        <w:rPr>
          <w:rFonts w:asciiTheme="majorHAnsi" w:hAnsiTheme="majorHAnsi" w:cstheme="majorHAnsi"/>
        </w:rPr>
        <w:t xml:space="preserve"> burden</w:t>
      </w:r>
      <w:r w:rsidR="00557D52">
        <w:rPr>
          <w:rFonts w:asciiTheme="majorHAnsi" w:hAnsiTheme="majorHAnsi" w:cstheme="majorHAnsi"/>
        </w:rPr>
        <w:t xml:space="preserve"> (</w:t>
      </w:r>
      <w:r w:rsidR="00557D52">
        <w:rPr>
          <w:rFonts w:asciiTheme="majorHAnsi" w:hAnsiTheme="majorHAnsi" w:cstheme="majorHAnsi"/>
        </w:rPr>
        <w:fldChar w:fldCharType="begin"/>
      </w:r>
      <w:r w:rsidR="00557D52">
        <w:rPr>
          <w:rFonts w:asciiTheme="majorHAnsi" w:hAnsiTheme="majorHAnsi" w:cstheme="majorHAnsi"/>
        </w:rPr>
        <w:instrText xml:space="preserve"> REF _Ref177115757 \h </w:instrText>
      </w:r>
      <w:r w:rsidR="00557D52">
        <w:rPr>
          <w:rFonts w:asciiTheme="majorHAnsi" w:hAnsiTheme="majorHAnsi" w:cstheme="majorHAnsi"/>
        </w:rPr>
      </w:r>
      <w:r w:rsidR="00557D52">
        <w:rPr>
          <w:rFonts w:asciiTheme="majorHAnsi" w:hAnsiTheme="majorHAnsi" w:cstheme="majorHAnsi"/>
        </w:rPr>
        <w:fldChar w:fldCharType="separate"/>
      </w:r>
      <w:r w:rsidR="00B71781" w:rsidRPr="00557D52">
        <w:rPr>
          <w:rFonts w:asciiTheme="majorHAnsi" w:hAnsiTheme="majorHAnsi" w:cstheme="majorHAnsi"/>
        </w:rPr>
        <w:t xml:space="preserve">Figure </w:t>
      </w:r>
      <w:r w:rsidR="00B71781">
        <w:rPr>
          <w:rFonts w:asciiTheme="majorHAnsi" w:hAnsiTheme="majorHAnsi" w:cstheme="majorHAnsi"/>
          <w:noProof/>
        </w:rPr>
        <w:t>20</w:t>
      </w:r>
      <w:r w:rsidR="00557D52">
        <w:rPr>
          <w:rFonts w:asciiTheme="majorHAnsi" w:hAnsiTheme="majorHAnsi" w:cstheme="majorHAnsi"/>
        </w:rPr>
        <w:fldChar w:fldCharType="end"/>
      </w:r>
      <w:r w:rsidR="00557D52">
        <w:rPr>
          <w:rFonts w:asciiTheme="majorHAnsi" w:hAnsiTheme="majorHAnsi" w:cstheme="majorHAnsi"/>
        </w:rPr>
        <w:t>)</w:t>
      </w:r>
      <w:r w:rsidR="00FF2031">
        <w:rPr>
          <w:rFonts w:asciiTheme="majorHAnsi" w:hAnsiTheme="majorHAnsi" w:cstheme="majorHAnsi"/>
        </w:rPr>
        <w:t xml:space="preserve">. </w:t>
      </w:r>
      <w:r w:rsidR="00971DE8" w:rsidRPr="00971DE8">
        <w:rPr>
          <w:rFonts w:asciiTheme="majorHAnsi" w:hAnsiTheme="majorHAnsi" w:cstheme="majorHAnsi"/>
        </w:rPr>
        <w:t>Transfers increase the total income of agricultural households by 7.4</w:t>
      </w:r>
      <w:r w:rsidR="00971DE8">
        <w:rPr>
          <w:rFonts w:asciiTheme="majorHAnsi" w:hAnsiTheme="majorHAnsi" w:cstheme="majorHAnsi"/>
        </w:rPr>
        <w:t xml:space="preserve"> percent,</w:t>
      </w:r>
      <w:r w:rsidR="00971DE8" w:rsidRPr="00971DE8">
        <w:rPr>
          <w:rFonts w:asciiTheme="majorHAnsi" w:hAnsiTheme="majorHAnsi" w:cstheme="majorHAnsi"/>
        </w:rPr>
        <w:t xml:space="preserve"> whereas the impact of transfers on non-agricultural households is only 1.5</w:t>
      </w:r>
      <w:r w:rsidR="00971DE8">
        <w:rPr>
          <w:rFonts w:asciiTheme="majorHAnsi" w:hAnsiTheme="majorHAnsi" w:cstheme="majorHAnsi"/>
        </w:rPr>
        <w:t xml:space="preserve"> percent</w:t>
      </w:r>
      <w:r w:rsidR="00971DE8" w:rsidRPr="00971DE8">
        <w:rPr>
          <w:rFonts w:asciiTheme="majorHAnsi" w:hAnsiTheme="majorHAnsi" w:cstheme="majorHAnsi"/>
        </w:rPr>
        <w:t xml:space="preserve">. This discrepancy is largely due to programs like </w:t>
      </w:r>
      <w:r w:rsidR="00971DE8" w:rsidRPr="00971DE8">
        <w:rPr>
          <w:rFonts w:asciiTheme="majorHAnsi" w:hAnsiTheme="majorHAnsi" w:cstheme="majorHAnsi"/>
          <w:i/>
          <w:iCs/>
        </w:rPr>
        <w:t xml:space="preserve">Pension 65 </w:t>
      </w:r>
      <w:r w:rsidR="00971DE8" w:rsidRPr="00971DE8">
        <w:rPr>
          <w:rFonts w:asciiTheme="majorHAnsi" w:hAnsiTheme="majorHAnsi" w:cstheme="majorHAnsi"/>
        </w:rPr>
        <w:t xml:space="preserve">and </w:t>
      </w:r>
      <w:r w:rsidR="00971DE8" w:rsidRPr="00971DE8">
        <w:rPr>
          <w:rFonts w:asciiTheme="majorHAnsi" w:hAnsiTheme="majorHAnsi" w:cstheme="majorHAnsi"/>
          <w:i/>
          <w:iCs/>
        </w:rPr>
        <w:t>Juntos</w:t>
      </w:r>
      <w:r w:rsidR="00971DE8" w:rsidRPr="00971DE8">
        <w:rPr>
          <w:rFonts w:asciiTheme="majorHAnsi" w:hAnsiTheme="majorHAnsi" w:cstheme="majorHAnsi"/>
        </w:rPr>
        <w:t>, which raise the total income of agricultural households by 2.2</w:t>
      </w:r>
      <w:r w:rsidR="00971DE8">
        <w:rPr>
          <w:rFonts w:asciiTheme="majorHAnsi" w:hAnsiTheme="majorHAnsi" w:cstheme="majorHAnsi"/>
        </w:rPr>
        <w:t xml:space="preserve"> percent</w:t>
      </w:r>
      <w:r w:rsidR="00971DE8" w:rsidRPr="00971DE8">
        <w:rPr>
          <w:rFonts w:asciiTheme="majorHAnsi" w:hAnsiTheme="majorHAnsi" w:cstheme="majorHAnsi"/>
        </w:rPr>
        <w:t xml:space="preserve"> and 2</w:t>
      </w:r>
      <w:r w:rsidR="00971DE8">
        <w:rPr>
          <w:rFonts w:asciiTheme="majorHAnsi" w:hAnsiTheme="majorHAnsi" w:cstheme="majorHAnsi"/>
        </w:rPr>
        <w:t xml:space="preserve"> percent</w:t>
      </w:r>
      <w:r w:rsidR="00971DE8" w:rsidRPr="00971DE8">
        <w:rPr>
          <w:rFonts w:asciiTheme="majorHAnsi" w:hAnsiTheme="majorHAnsi" w:cstheme="majorHAnsi"/>
        </w:rPr>
        <w:t>, respectively, while their effect on non-agricultural households’ incomes is a mere 0.1</w:t>
      </w:r>
      <w:r w:rsidR="00971DE8">
        <w:rPr>
          <w:rFonts w:asciiTheme="majorHAnsi" w:hAnsiTheme="majorHAnsi" w:cstheme="majorHAnsi"/>
        </w:rPr>
        <w:t xml:space="preserve"> percent</w:t>
      </w:r>
      <w:r w:rsidR="00971DE8" w:rsidRPr="00971DE8">
        <w:rPr>
          <w:rFonts w:asciiTheme="majorHAnsi" w:hAnsiTheme="majorHAnsi" w:cstheme="majorHAnsi"/>
        </w:rPr>
        <w:t>. A similar pattern can be seen among rural and urban households. While these transfers are well-targeted to rural populations, they also highlight the shortcomings of the transfer system in Peru, as the needs of non-agricultural and urban households are largely overlooked.</w:t>
      </w:r>
    </w:p>
    <w:p w14:paraId="46AC7FEC" w14:textId="77777777" w:rsidR="00290D56" w:rsidRDefault="00290D56" w:rsidP="00035C7B">
      <w:pPr>
        <w:spacing w:after="0"/>
        <w:jc w:val="both"/>
        <w:rPr>
          <w:rFonts w:asciiTheme="majorHAnsi" w:hAnsiTheme="majorHAnsi" w:cstheme="majorHAnsi"/>
        </w:rPr>
      </w:pPr>
    </w:p>
    <w:p w14:paraId="1F7C522E" w14:textId="251986E3" w:rsidR="001C48BA" w:rsidRDefault="001241FB" w:rsidP="00035C7B">
      <w:pPr>
        <w:spacing w:after="0"/>
        <w:jc w:val="both"/>
        <w:rPr>
          <w:rFonts w:asciiTheme="majorHAnsi" w:hAnsiTheme="majorHAnsi" w:cstheme="majorHAnsi"/>
        </w:rPr>
      </w:pPr>
      <w:r w:rsidRPr="001241FB">
        <w:rPr>
          <w:rFonts w:asciiTheme="majorHAnsi" w:hAnsiTheme="majorHAnsi" w:cstheme="majorHAnsi"/>
        </w:rPr>
        <w:t>Agricultural households also face a lighter tax burden compared to other households in Peru. Taxes reduce the income of agricultural households by 6.9</w:t>
      </w:r>
      <w:r>
        <w:rPr>
          <w:rFonts w:asciiTheme="majorHAnsi" w:hAnsiTheme="majorHAnsi" w:cstheme="majorHAnsi"/>
        </w:rPr>
        <w:t xml:space="preserve"> percent</w:t>
      </w:r>
      <w:r w:rsidRPr="001241FB">
        <w:rPr>
          <w:rFonts w:asciiTheme="majorHAnsi" w:hAnsiTheme="majorHAnsi" w:cstheme="majorHAnsi"/>
        </w:rPr>
        <w:t>, with indirect taxes accounting for 97</w:t>
      </w:r>
      <w:r>
        <w:rPr>
          <w:rFonts w:asciiTheme="majorHAnsi" w:hAnsiTheme="majorHAnsi" w:cstheme="majorHAnsi"/>
        </w:rPr>
        <w:t xml:space="preserve"> percent</w:t>
      </w:r>
      <w:r w:rsidRPr="001241FB">
        <w:rPr>
          <w:rFonts w:asciiTheme="majorHAnsi" w:hAnsiTheme="majorHAnsi" w:cstheme="majorHAnsi"/>
        </w:rPr>
        <w:t xml:space="preserve"> of this reduction. In contrast, non-agricultural households experience an average income reduction of 9.4</w:t>
      </w:r>
      <w:r>
        <w:rPr>
          <w:rFonts w:asciiTheme="majorHAnsi" w:hAnsiTheme="majorHAnsi" w:cstheme="majorHAnsi"/>
        </w:rPr>
        <w:t xml:space="preserve"> percent</w:t>
      </w:r>
      <w:r w:rsidRPr="001241FB">
        <w:rPr>
          <w:rFonts w:asciiTheme="majorHAnsi" w:hAnsiTheme="majorHAnsi" w:cstheme="majorHAnsi"/>
        </w:rPr>
        <w:t>, with indirect taxes representing 84</w:t>
      </w:r>
      <w:r>
        <w:rPr>
          <w:rFonts w:asciiTheme="majorHAnsi" w:hAnsiTheme="majorHAnsi" w:cstheme="majorHAnsi"/>
        </w:rPr>
        <w:t xml:space="preserve"> percent</w:t>
      </w:r>
      <w:r w:rsidRPr="001241FB">
        <w:rPr>
          <w:rFonts w:asciiTheme="majorHAnsi" w:hAnsiTheme="majorHAnsi" w:cstheme="majorHAnsi"/>
        </w:rPr>
        <w:t xml:space="preserve"> of the burden. Agricultural households pay almost no direct taxes, while direct taxes reduce non-agricultural households’ total income by 1.4</w:t>
      </w:r>
      <w:r>
        <w:rPr>
          <w:rFonts w:asciiTheme="majorHAnsi" w:hAnsiTheme="majorHAnsi" w:cstheme="majorHAnsi"/>
        </w:rPr>
        <w:t xml:space="preserve"> percent</w:t>
      </w:r>
      <w:r w:rsidRPr="001241FB">
        <w:rPr>
          <w:rFonts w:asciiTheme="majorHAnsi" w:hAnsiTheme="majorHAnsi" w:cstheme="majorHAnsi"/>
        </w:rPr>
        <w:t>.</w:t>
      </w:r>
      <w:r w:rsidR="00165E4E">
        <w:rPr>
          <w:rFonts w:asciiTheme="majorHAnsi" w:hAnsiTheme="majorHAnsi" w:cstheme="majorHAnsi"/>
        </w:rPr>
        <w:t xml:space="preserve"> </w:t>
      </w:r>
      <w:r w:rsidR="00165E4E" w:rsidRPr="00165E4E">
        <w:rPr>
          <w:rFonts w:asciiTheme="majorHAnsi" w:hAnsiTheme="majorHAnsi" w:cstheme="majorHAnsi"/>
        </w:rPr>
        <w:t xml:space="preserve">These findings underscore the importance of considering the distinct challenges faced by agricultural households. </w:t>
      </w:r>
      <w:r w:rsidR="00A55E10">
        <w:rPr>
          <w:rFonts w:asciiTheme="majorHAnsi" w:hAnsiTheme="majorHAnsi" w:cstheme="majorHAnsi"/>
        </w:rPr>
        <w:t xml:space="preserve">Incidence analysis with </w:t>
      </w:r>
      <w:r w:rsidR="00A82125">
        <w:rPr>
          <w:rFonts w:asciiTheme="majorHAnsi" w:hAnsiTheme="majorHAnsi" w:cstheme="majorHAnsi"/>
        </w:rPr>
        <w:t>a gender and agricultural lens are thus</w:t>
      </w:r>
      <w:r w:rsidR="00165E4E" w:rsidRPr="00165E4E">
        <w:rPr>
          <w:rFonts w:asciiTheme="majorHAnsi" w:hAnsiTheme="majorHAnsi" w:cstheme="majorHAnsi"/>
        </w:rPr>
        <w:t xml:space="preserve"> crucial for understanding the nuanced effects of fiscal policies and ensuring that future reforms address the needs of both agricultural and non-agricultural populations to create a more equitable distribution of benefits across sectors.</w:t>
      </w:r>
    </w:p>
    <w:p w14:paraId="4F032547" w14:textId="77777777" w:rsidR="00035C7B" w:rsidRDefault="00035C7B" w:rsidP="00035C7B">
      <w:pPr>
        <w:spacing w:after="0"/>
        <w:jc w:val="both"/>
        <w:rPr>
          <w:rFonts w:asciiTheme="majorHAnsi" w:hAnsiTheme="majorHAnsi" w:cstheme="majorHAnsi"/>
        </w:rPr>
      </w:pPr>
    </w:p>
    <w:tbl>
      <w:tblPr>
        <w:tblStyle w:val="TableGrid"/>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9350"/>
      </w:tblGrid>
      <w:tr w:rsidR="00557D52" w14:paraId="12D06AFF" w14:textId="77777777" w:rsidTr="003B08AF">
        <w:tc>
          <w:tcPr>
            <w:tcW w:w="9350" w:type="dxa"/>
          </w:tcPr>
          <w:p w14:paraId="308A9B77" w14:textId="404D84DA" w:rsidR="00557D52" w:rsidRPr="00557D52" w:rsidRDefault="00557D52" w:rsidP="00035C7B">
            <w:pPr>
              <w:spacing w:line="259" w:lineRule="auto"/>
              <w:jc w:val="both"/>
              <w:textAlignment w:val="baseline"/>
              <w:rPr>
                <w:rFonts w:asciiTheme="majorHAnsi" w:hAnsiTheme="majorHAnsi" w:cstheme="majorHAnsi"/>
              </w:rPr>
            </w:pPr>
            <w:bookmarkStart w:id="21" w:name="_Ref177115757"/>
            <w:r w:rsidRPr="00557D52">
              <w:rPr>
                <w:rFonts w:asciiTheme="majorHAnsi" w:hAnsiTheme="majorHAnsi" w:cstheme="majorHAnsi"/>
              </w:rPr>
              <w:t xml:space="preserve">Figure </w:t>
            </w:r>
            <w:r w:rsidRPr="00557D52">
              <w:rPr>
                <w:rFonts w:asciiTheme="majorHAnsi" w:hAnsiTheme="majorHAnsi" w:cstheme="majorHAnsi"/>
              </w:rPr>
              <w:fldChar w:fldCharType="begin"/>
            </w:r>
            <w:r w:rsidRPr="00557D52">
              <w:rPr>
                <w:rFonts w:asciiTheme="majorHAnsi" w:hAnsiTheme="majorHAnsi" w:cstheme="majorHAnsi"/>
              </w:rPr>
              <w:instrText xml:space="preserve"> SEQ Figure \* ARABIC </w:instrText>
            </w:r>
            <w:r w:rsidRPr="00557D52">
              <w:rPr>
                <w:rFonts w:asciiTheme="majorHAnsi" w:hAnsiTheme="majorHAnsi" w:cstheme="majorHAnsi"/>
              </w:rPr>
              <w:fldChar w:fldCharType="separate"/>
            </w:r>
            <w:r w:rsidR="00B71781">
              <w:rPr>
                <w:rFonts w:asciiTheme="majorHAnsi" w:hAnsiTheme="majorHAnsi" w:cstheme="majorHAnsi"/>
                <w:noProof/>
              </w:rPr>
              <w:t>20</w:t>
            </w:r>
            <w:r w:rsidRPr="00557D52">
              <w:rPr>
                <w:rFonts w:asciiTheme="majorHAnsi" w:hAnsiTheme="majorHAnsi" w:cstheme="majorHAnsi"/>
              </w:rPr>
              <w:fldChar w:fldCharType="end"/>
            </w:r>
            <w:bookmarkEnd w:id="21"/>
            <w:r w:rsidRPr="00557D52">
              <w:rPr>
                <w:rFonts w:asciiTheme="majorHAnsi" w:hAnsiTheme="majorHAnsi" w:cstheme="majorHAnsi"/>
              </w:rPr>
              <w:t>. Impact of fiscal instruments by dependence on agriculture</w:t>
            </w:r>
          </w:p>
          <w:p w14:paraId="31CCA486" w14:textId="507AFF1E" w:rsidR="00557D52" w:rsidRDefault="00557D52" w:rsidP="00035C7B">
            <w:pPr>
              <w:spacing w:line="259" w:lineRule="auto"/>
              <w:jc w:val="both"/>
              <w:textAlignment w:val="baseline"/>
              <w:rPr>
                <w:rFonts w:asciiTheme="majorHAnsi" w:hAnsiTheme="majorHAnsi" w:cstheme="majorHAnsi"/>
              </w:rPr>
            </w:pPr>
            <w:r w:rsidRPr="00557D52">
              <w:rPr>
                <w:rFonts w:asciiTheme="majorHAnsi" w:hAnsiTheme="majorHAnsi" w:cstheme="majorHAnsi"/>
              </w:rPr>
              <w:t>(as a share of household market income)</w:t>
            </w:r>
          </w:p>
        </w:tc>
      </w:tr>
      <w:tr w:rsidR="00557D52" w14:paraId="43C456A2" w14:textId="77777777" w:rsidTr="003B08AF">
        <w:tc>
          <w:tcPr>
            <w:tcW w:w="9350" w:type="dxa"/>
          </w:tcPr>
          <w:p w14:paraId="60A56298" w14:textId="207D2E18" w:rsidR="00557D52" w:rsidRDefault="00557D52" w:rsidP="00035C7B">
            <w:pPr>
              <w:spacing w:line="259" w:lineRule="auto"/>
              <w:jc w:val="both"/>
              <w:rPr>
                <w:rFonts w:asciiTheme="majorHAnsi" w:hAnsiTheme="majorHAnsi" w:cstheme="majorHAnsi"/>
              </w:rPr>
            </w:pPr>
            <w:r>
              <w:rPr>
                <w:noProof/>
              </w:rPr>
              <w:drawing>
                <wp:inline distT="0" distB="0" distL="0" distR="0" wp14:anchorId="7D5E009E" wp14:editId="7F57B56F">
                  <wp:extent cx="5779698" cy="2639695"/>
                  <wp:effectExtent l="0" t="0" r="0" b="8255"/>
                  <wp:docPr id="26" name="Chart 26">
                    <a:extLst xmlns:a="http://schemas.openxmlformats.org/drawingml/2006/main">
                      <a:ext uri="{FF2B5EF4-FFF2-40B4-BE49-F238E27FC236}">
                        <a16:creationId xmlns:a16="http://schemas.microsoft.com/office/drawing/2014/main" id="{A33D381D-AC56-4F97-95D7-82C5A55C02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r w:rsidR="00557D52" w14:paraId="4AEA366A" w14:textId="77777777" w:rsidTr="003B08AF">
        <w:tc>
          <w:tcPr>
            <w:tcW w:w="9350" w:type="dxa"/>
          </w:tcPr>
          <w:p w14:paraId="5E3C5087" w14:textId="77777777" w:rsidR="00557D52" w:rsidRDefault="00557D52" w:rsidP="00035C7B">
            <w:pPr>
              <w:spacing w:line="259" w:lineRule="auto"/>
              <w:jc w:val="both"/>
              <w:rPr>
                <w:rFonts w:asciiTheme="majorHAnsi" w:hAnsiTheme="majorHAnsi" w:cstheme="majorHAnsi"/>
              </w:rPr>
            </w:pPr>
            <w:r w:rsidRPr="000A1880">
              <w:rPr>
                <w:rFonts w:asciiTheme="majorHAnsi" w:hAnsiTheme="majorHAnsi" w:cstheme="majorHAnsi"/>
                <w:sz w:val="20"/>
                <w:szCs w:val="20"/>
              </w:rPr>
              <w:t xml:space="preserve">Source: </w:t>
            </w:r>
            <w:r w:rsidRPr="00813155">
              <w:rPr>
                <w:rFonts w:asciiTheme="majorHAnsi" w:hAnsiTheme="majorHAnsi" w:cstheme="majorHAnsi"/>
                <w:sz w:val="20"/>
                <w:szCs w:val="20"/>
              </w:rPr>
              <w:t xml:space="preserve">World Bank based on Peru, </w:t>
            </w:r>
            <w:r w:rsidRPr="00813155">
              <w:rPr>
                <w:rFonts w:asciiTheme="majorHAnsi" w:hAnsiTheme="majorHAnsi" w:cstheme="majorHAnsi"/>
                <w:i/>
                <w:iCs/>
                <w:sz w:val="20"/>
                <w:szCs w:val="20"/>
              </w:rPr>
              <w:t>Encuesta Nacional de Hogares</w:t>
            </w:r>
            <w:r w:rsidRPr="00813155">
              <w:rPr>
                <w:rFonts w:asciiTheme="majorHAnsi" w:hAnsiTheme="majorHAnsi" w:cstheme="majorHAnsi"/>
                <w:sz w:val="20"/>
                <w:szCs w:val="20"/>
              </w:rPr>
              <w:t xml:space="preserve"> (2019).</w:t>
            </w:r>
          </w:p>
        </w:tc>
      </w:tr>
    </w:tbl>
    <w:p w14:paraId="3ECC1B2B" w14:textId="77777777" w:rsidR="00035C7B" w:rsidRDefault="00035C7B" w:rsidP="00035C7B">
      <w:pPr>
        <w:pStyle w:val="Heading1"/>
        <w:numPr>
          <w:ilvl w:val="0"/>
          <w:numId w:val="0"/>
        </w:numPr>
        <w:spacing w:before="0"/>
        <w:ind w:left="432"/>
      </w:pPr>
    </w:p>
    <w:p w14:paraId="3E620FC9" w14:textId="77777777" w:rsidR="00290D56" w:rsidRPr="00290D56" w:rsidRDefault="00290D56" w:rsidP="00290D56"/>
    <w:p w14:paraId="34335F27" w14:textId="72799EC0" w:rsidR="001205F9" w:rsidRPr="001205F9" w:rsidRDefault="001205F9" w:rsidP="00035C7B">
      <w:pPr>
        <w:pStyle w:val="Heading1"/>
        <w:spacing w:before="0"/>
      </w:pPr>
      <w:r w:rsidRPr="001205F9">
        <w:lastRenderedPageBreak/>
        <w:t>Discussion and Policy Implications</w:t>
      </w:r>
    </w:p>
    <w:p w14:paraId="31D63A1A" w14:textId="77777777" w:rsidR="00A05D1C" w:rsidRDefault="00A05D1C" w:rsidP="00035C7B">
      <w:pPr>
        <w:spacing w:after="0"/>
        <w:jc w:val="both"/>
        <w:rPr>
          <w:rFonts w:asciiTheme="majorHAnsi" w:hAnsiTheme="majorHAnsi" w:cstheme="majorHAnsi"/>
        </w:rPr>
      </w:pPr>
    </w:p>
    <w:p w14:paraId="67268FD3" w14:textId="09E447E8" w:rsidR="00A05D1C" w:rsidRDefault="00A05D1C" w:rsidP="00035C7B">
      <w:pPr>
        <w:spacing w:after="0"/>
        <w:jc w:val="both"/>
        <w:rPr>
          <w:rFonts w:asciiTheme="majorHAnsi" w:hAnsiTheme="majorHAnsi" w:cstheme="majorHAnsi"/>
        </w:rPr>
      </w:pPr>
      <w:r w:rsidRPr="00A05D1C">
        <w:rPr>
          <w:rFonts w:asciiTheme="majorHAnsi" w:hAnsiTheme="majorHAnsi" w:cstheme="majorHAnsi"/>
        </w:rPr>
        <w:t>This study applies a gender lens to the distributional analysis of Peru's fiscal system, revealing important insights into the differential impacts of taxes and transfers across various household types. Our findings underscore the complexity of fiscal policy outcomes and highlight areas where gender-responsive reforms could enhance the system's effectiveness in reducing poverty and inequality.</w:t>
      </w:r>
    </w:p>
    <w:p w14:paraId="72086BD0" w14:textId="77777777" w:rsidR="00035C7B" w:rsidRPr="00A05D1C" w:rsidRDefault="00035C7B" w:rsidP="00035C7B">
      <w:pPr>
        <w:spacing w:after="0"/>
        <w:jc w:val="both"/>
        <w:rPr>
          <w:rFonts w:asciiTheme="majorHAnsi" w:hAnsiTheme="majorHAnsi" w:cstheme="majorHAnsi"/>
        </w:rPr>
      </w:pPr>
    </w:p>
    <w:p w14:paraId="4D687DB3" w14:textId="16CCF0E7" w:rsidR="00A05D1C" w:rsidRPr="00A05D1C" w:rsidRDefault="00A05D1C" w:rsidP="00035C7B">
      <w:pPr>
        <w:spacing w:after="0"/>
        <w:jc w:val="both"/>
        <w:rPr>
          <w:rFonts w:asciiTheme="majorHAnsi" w:hAnsiTheme="majorHAnsi" w:cstheme="majorHAnsi"/>
        </w:rPr>
      </w:pPr>
      <w:r w:rsidRPr="00A05D1C">
        <w:rPr>
          <w:rFonts w:asciiTheme="majorHAnsi" w:hAnsiTheme="majorHAnsi" w:cstheme="majorHAnsi"/>
        </w:rPr>
        <w:t xml:space="preserve">The analysis </w:t>
      </w:r>
      <w:r w:rsidR="00035C7B" w:rsidRPr="00A05D1C">
        <w:rPr>
          <w:rFonts w:asciiTheme="majorHAnsi" w:hAnsiTheme="majorHAnsi" w:cstheme="majorHAnsi"/>
        </w:rPr>
        <w:t>shows</w:t>
      </w:r>
      <w:r w:rsidRPr="00A05D1C">
        <w:rPr>
          <w:rFonts w:asciiTheme="majorHAnsi" w:hAnsiTheme="majorHAnsi" w:cstheme="majorHAnsi"/>
        </w:rPr>
        <w:t xml:space="preserve"> that the fiscal system</w:t>
      </w:r>
      <w:r w:rsidR="00035C7B">
        <w:rPr>
          <w:rFonts w:asciiTheme="majorHAnsi" w:hAnsiTheme="majorHAnsi" w:cstheme="majorHAnsi"/>
        </w:rPr>
        <w:t>’</w:t>
      </w:r>
      <w:r w:rsidRPr="00A05D1C">
        <w:rPr>
          <w:rFonts w:asciiTheme="majorHAnsi" w:hAnsiTheme="majorHAnsi" w:cstheme="majorHAnsi"/>
        </w:rPr>
        <w:t>s effects vary significantly across household structures. Nuclear families, extended families, and single-parent households experience the greatest increases in poverty post-fiscal intervention. This suggests that the current system may not adequately account for the diverse needs of different household compositions, particularly those where care responsibilities are concentrated.</w:t>
      </w:r>
    </w:p>
    <w:p w14:paraId="19C33A87" w14:textId="77777777" w:rsidR="00035C7B" w:rsidRDefault="00035C7B" w:rsidP="00035C7B">
      <w:pPr>
        <w:spacing w:after="0"/>
        <w:jc w:val="both"/>
        <w:rPr>
          <w:rFonts w:asciiTheme="majorHAnsi" w:hAnsiTheme="majorHAnsi" w:cstheme="majorHAnsi"/>
        </w:rPr>
      </w:pPr>
    </w:p>
    <w:p w14:paraId="3CAB1305" w14:textId="481CF3D6" w:rsidR="00A05D1C" w:rsidRDefault="00A05D1C" w:rsidP="00035C7B">
      <w:pPr>
        <w:spacing w:after="0"/>
        <w:jc w:val="both"/>
        <w:rPr>
          <w:rFonts w:asciiTheme="majorHAnsi" w:hAnsiTheme="majorHAnsi" w:cstheme="majorHAnsi"/>
        </w:rPr>
      </w:pPr>
      <w:r w:rsidRPr="00A05D1C">
        <w:rPr>
          <w:rFonts w:asciiTheme="majorHAnsi" w:hAnsiTheme="majorHAnsi" w:cstheme="majorHAnsi"/>
        </w:rPr>
        <w:t>Households with dependents requiring intensive care face higher poverty rates and are more adversely affected by the fiscal system. This highlights the intricate relationship between care responsibilities, often disproportionately borne by women, and economic outcomes. Single mothers with dependents, despite facing high pre-fiscal poverty rates, benefit more from direct transfers than other household types. This indicates that targeted cash transfer programs are effectively reaching this vulnerable group, though their impact may be insufficient to significantly reduce poverty rates.</w:t>
      </w:r>
    </w:p>
    <w:p w14:paraId="7BC21D45" w14:textId="77777777" w:rsidR="00035C7B" w:rsidRPr="00A05D1C" w:rsidRDefault="00035C7B" w:rsidP="00035C7B">
      <w:pPr>
        <w:spacing w:after="0"/>
        <w:jc w:val="both"/>
        <w:rPr>
          <w:rFonts w:asciiTheme="majorHAnsi" w:hAnsiTheme="majorHAnsi" w:cstheme="majorHAnsi"/>
        </w:rPr>
      </w:pPr>
    </w:p>
    <w:p w14:paraId="0A057C3D" w14:textId="77777777" w:rsidR="00A05D1C" w:rsidRDefault="00A05D1C" w:rsidP="00035C7B">
      <w:pPr>
        <w:spacing w:after="0"/>
        <w:jc w:val="both"/>
        <w:rPr>
          <w:rFonts w:asciiTheme="majorHAnsi" w:hAnsiTheme="majorHAnsi" w:cstheme="majorHAnsi"/>
        </w:rPr>
      </w:pPr>
      <w:r w:rsidRPr="00A05D1C">
        <w:rPr>
          <w:rFonts w:asciiTheme="majorHAnsi" w:hAnsiTheme="majorHAnsi" w:cstheme="majorHAnsi"/>
        </w:rPr>
        <w:t>The fiscal system benefits agricultural households, which are predominantly rural, more than non-agricultural households. While this suggests some success in rural poverty alleviation programs, it also points to potential imbalances in regional development policies. The negative impact of indirect taxes, particularly VAT, on poverty rates across most household types is a significant concern. This regressive effect disproportionately affects households with care responsibilities and single-parent households, which are more likely to be headed by women.</w:t>
      </w:r>
    </w:p>
    <w:p w14:paraId="05C69A68" w14:textId="77777777" w:rsidR="00035C7B" w:rsidRPr="00A05D1C" w:rsidRDefault="00035C7B" w:rsidP="00035C7B">
      <w:pPr>
        <w:spacing w:after="0"/>
        <w:jc w:val="both"/>
        <w:rPr>
          <w:rFonts w:asciiTheme="majorHAnsi" w:hAnsiTheme="majorHAnsi" w:cstheme="majorHAnsi"/>
        </w:rPr>
      </w:pPr>
    </w:p>
    <w:p w14:paraId="3B1561E2" w14:textId="77777777" w:rsidR="00035C7B" w:rsidRDefault="00A05D1C" w:rsidP="00035C7B">
      <w:pPr>
        <w:spacing w:after="0"/>
        <w:jc w:val="both"/>
        <w:rPr>
          <w:rFonts w:asciiTheme="majorHAnsi" w:hAnsiTheme="majorHAnsi" w:cstheme="majorHAnsi"/>
        </w:rPr>
      </w:pPr>
      <w:r w:rsidRPr="00A05D1C">
        <w:rPr>
          <w:rFonts w:asciiTheme="majorHAnsi" w:hAnsiTheme="majorHAnsi" w:cstheme="majorHAnsi"/>
        </w:rPr>
        <w:t>Despite increasing poverty for many household types, the fiscal system consistently reduces inequality across all categories, with the most substantial reductions observed in elderly households.</w:t>
      </w:r>
    </w:p>
    <w:p w14:paraId="348F5343" w14:textId="77777777" w:rsidR="00035C7B" w:rsidRDefault="00035C7B" w:rsidP="00035C7B">
      <w:pPr>
        <w:spacing w:after="0"/>
        <w:jc w:val="both"/>
        <w:rPr>
          <w:rFonts w:asciiTheme="majorHAnsi" w:hAnsiTheme="majorHAnsi" w:cstheme="majorHAnsi"/>
        </w:rPr>
      </w:pPr>
    </w:p>
    <w:p w14:paraId="06214B82" w14:textId="47304990" w:rsidR="00035C7B" w:rsidRDefault="00035C7B" w:rsidP="00035C7B">
      <w:pPr>
        <w:spacing w:after="0"/>
        <w:jc w:val="both"/>
        <w:rPr>
          <w:rFonts w:asciiTheme="majorHAnsi" w:hAnsiTheme="majorHAnsi" w:cstheme="majorHAnsi"/>
        </w:rPr>
      </w:pPr>
      <w:r w:rsidRPr="00035C7B">
        <w:rPr>
          <w:rFonts w:asciiTheme="majorHAnsi" w:hAnsiTheme="majorHAnsi" w:cstheme="majorHAnsi"/>
        </w:rPr>
        <w:t>The findings of this study suggest potential avenues for enhancing the gender-responsiveness and overall effectiveness of Peru</w:t>
      </w:r>
      <w:r>
        <w:rPr>
          <w:rFonts w:asciiTheme="majorHAnsi" w:hAnsiTheme="majorHAnsi" w:cstheme="majorHAnsi"/>
        </w:rPr>
        <w:t>’</w:t>
      </w:r>
      <w:r w:rsidRPr="00035C7B">
        <w:rPr>
          <w:rFonts w:asciiTheme="majorHAnsi" w:hAnsiTheme="majorHAnsi" w:cstheme="majorHAnsi"/>
        </w:rPr>
        <w:t>s fiscal system. Given the differential impact across household types, policymakers may consider refining existing support mechanisms or developing new interventions that account for the specific needs of vulnerable households, particularly those with high care burdens. This could be complemented by expanding public investment in childcare services, especially in urban areas, to help alleviate the care responsibilities that often disproportionately affect women</w:t>
      </w:r>
      <w:r>
        <w:rPr>
          <w:rFonts w:asciiTheme="majorHAnsi" w:hAnsiTheme="majorHAnsi" w:cstheme="majorHAnsi"/>
        </w:rPr>
        <w:t>’</w:t>
      </w:r>
      <w:r w:rsidRPr="00035C7B">
        <w:rPr>
          <w:rFonts w:asciiTheme="majorHAnsi" w:hAnsiTheme="majorHAnsi" w:cstheme="majorHAnsi"/>
        </w:rPr>
        <w:t>s economic outcomes.</w:t>
      </w:r>
    </w:p>
    <w:p w14:paraId="5AC68CFA" w14:textId="77777777" w:rsidR="00035C7B" w:rsidRPr="00035C7B" w:rsidRDefault="00035C7B" w:rsidP="00035C7B">
      <w:pPr>
        <w:spacing w:after="0"/>
        <w:jc w:val="both"/>
        <w:rPr>
          <w:rFonts w:asciiTheme="majorHAnsi" w:hAnsiTheme="majorHAnsi" w:cstheme="majorHAnsi"/>
        </w:rPr>
      </w:pPr>
    </w:p>
    <w:p w14:paraId="465A7379" w14:textId="6823785E" w:rsidR="00035C7B" w:rsidRDefault="00035C7B" w:rsidP="00035C7B">
      <w:pPr>
        <w:spacing w:after="0"/>
        <w:jc w:val="both"/>
        <w:rPr>
          <w:rFonts w:asciiTheme="majorHAnsi" w:hAnsiTheme="majorHAnsi" w:cstheme="majorHAnsi"/>
        </w:rPr>
      </w:pPr>
      <w:r w:rsidRPr="00035C7B">
        <w:rPr>
          <w:rFonts w:asciiTheme="majorHAnsi" w:hAnsiTheme="majorHAnsi" w:cstheme="majorHAnsi"/>
        </w:rPr>
        <w:t xml:space="preserve">The effectiveness of targeted cash transfer programs for single mothers, coupled with their persistently high poverty rates, indicates that a more holistic approach might be beneficial. Integrating these transfers with complementary interventions such as skills training or job placement services could enhance the long-term economic prospects of this vulnerable group. Additionally, to address the regressive impact of indirect taxes on households with care responsibilities, </w:t>
      </w:r>
      <w:r>
        <w:rPr>
          <w:rFonts w:asciiTheme="majorHAnsi" w:hAnsiTheme="majorHAnsi" w:cstheme="majorHAnsi"/>
        </w:rPr>
        <w:t>the country could</w:t>
      </w:r>
      <w:r w:rsidRPr="00035C7B">
        <w:rPr>
          <w:rFonts w:asciiTheme="majorHAnsi" w:hAnsiTheme="majorHAnsi" w:cstheme="majorHAnsi"/>
        </w:rPr>
        <w:t xml:space="preserve"> explore compensatory mechanisms for low-income households, such as targeted tax credits or adjustments to the VAT structure for essential goods and services.</w:t>
      </w:r>
    </w:p>
    <w:p w14:paraId="4398A08D" w14:textId="77777777" w:rsidR="00035C7B" w:rsidRPr="00035C7B" w:rsidRDefault="00035C7B" w:rsidP="00035C7B">
      <w:pPr>
        <w:spacing w:after="0"/>
        <w:jc w:val="both"/>
        <w:rPr>
          <w:rFonts w:asciiTheme="majorHAnsi" w:hAnsiTheme="majorHAnsi" w:cstheme="majorHAnsi"/>
        </w:rPr>
      </w:pPr>
    </w:p>
    <w:p w14:paraId="170CBA1B" w14:textId="5B89E323" w:rsidR="00035C7B" w:rsidRDefault="00035C7B" w:rsidP="00035C7B">
      <w:pPr>
        <w:spacing w:after="0"/>
        <w:jc w:val="both"/>
        <w:rPr>
          <w:rFonts w:asciiTheme="majorHAnsi" w:hAnsiTheme="majorHAnsi" w:cstheme="majorHAnsi"/>
        </w:rPr>
      </w:pPr>
      <w:r w:rsidRPr="00035C7B">
        <w:rPr>
          <w:rFonts w:asciiTheme="majorHAnsi" w:hAnsiTheme="majorHAnsi" w:cstheme="majorHAnsi"/>
        </w:rPr>
        <w:lastRenderedPageBreak/>
        <w:t>The observed disparities between agricultural and non-agricultural households highlight the importance of maintaining support for rural areas while developing targeted interventions for the urban poor. This balanced approach could help address urban-rural disparities while sustaining progress in rural poverty reduction. To enhance the system</w:t>
      </w:r>
      <w:r>
        <w:rPr>
          <w:rFonts w:asciiTheme="majorHAnsi" w:hAnsiTheme="majorHAnsi" w:cstheme="majorHAnsi"/>
        </w:rPr>
        <w:t>’</w:t>
      </w:r>
      <w:r w:rsidRPr="00035C7B">
        <w:rPr>
          <w:rFonts w:asciiTheme="majorHAnsi" w:hAnsiTheme="majorHAnsi" w:cstheme="majorHAnsi"/>
        </w:rPr>
        <w:t>s overall progressivity and offset the regressive effects of indirect taxes, options for strengthening direct taxation, particularly at higher income levels, may warrant consideration.</w:t>
      </w:r>
    </w:p>
    <w:p w14:paraId="6D743084" w14:textId="77777777" w:rsidR="007D6783" w:rsidRPr="00035C7B" w:rsidRDefault="007D6783" w:rsidP="00035C7B">
      <w:pPr>
        <w:spacing w:after="0"/>
        <w:jc w:val="both"/>
        <w:rPr>
          <w:rFonts w:asciiTheme="majorHAnsi" w:hAnsiTheme="majorHAnsi" w:cstheme="majorHAnsi"/>
        </w:rPr>
      </w:pPr>
    </w:p>
    <w:p w14:paraId="5E4C6CC8" w14:textId="77777777" w:rsidR="00035C7B" w:rsidRDefault="00035C7B" w:rsidP="00035C7B">
      <w:pPr>
        <w:spacing w:after="0"/>
        <w:jc w:val="both"/>
        <w:rPr>
          <w:rFonts w:asciiTheme="majorHAnsi" w:hAnsiTheme="majorHAnsi" w:cstheme="majorHAnsi"/>
        </w:rPr>
      </w:pPr>
      <w:r w:rsidRPr="00035C7B">
        <w:rPr>
          <w:rFonts w:asciiTheme="majorHAnsi" w:hAnsiTheme="majorHAnsi" w:cstheme="majorHAnsi"/>
        </w:rPr>
        <w:t>Finally, the gender-specific impacts revealed in this study underscore the potential value of systematically incorporating gender impact assessments in fiscal policy design. Such assessments could help ensure that future reforms are more responsive to gender-specific needs and challenges across various household types.</w:t>
      </w:r>
    </w:p>
    <w:p w14:paraId="201563B7" w14:textId="77777777" w:rsidR="00035C7B" w:rsidRPr="00035C7B" w:rsidRDefault="00035C7B" w:rsidP="00035C7B">
      <w:pPr>
        <w:spacing w:after="0"/>
        <w:jc w:val="both"/>
        <w:rPr>
          <w:rFonts w:asciiTheme="majorHAnsi" w:hAnsiTheme="majorHAnsi" w:cstheme="majorHAnsi"/>
        </w:rPr>
      </w:pPr>
    </w:p>
    <w:p w14:paraId="6D84F341" w14:textId="77777777" w:rsidR="00290D56" w:rsidRDefault="00035C7B" w:rsidP="00035C7B">
      <w:pPr>
        <w:spacing w:after="0"/>
        <w:jc w:val="both"/>
        <w:rPr>
          <w:rFonts w:asciiTheme="majorHAnsi" w:hAnsiTheme="majorHAnsi" w:cstheme="majorHAnsi"/>
        </w:rPr>
        <w:sectPr w:rsidR="00290D56">
          <w:footerReference w:type="even" r:id="rId28"/>
          <w:footerReference w:type="default" r:id="rId29"/>
          <w:footerReference w:type="first" r:id="rId30"/>
          <w:pgSz w:w="12240" w:h="15840"/>
          <w:pgMar w:top="1440" w:right="1440" w:bottom="1440" w:left="1440" w:header="720" w:footer="720" w:gutter="0"/>
          <w:cols w:space="720"/>
          <w:docGrid w:linePitch="360"/>
        </w:sectPr>
      </w:pPr>
      <w:r w:rsidRPr="00035C7B">
        <w:rPr>
          <w:rFonts w:asciiTheme="majorHAnsi" w:hAnsiTheme="majorHAnsi" w:cstheme="majorHAnsi"/>
        </w:rPr>
        <w:t>These policy implications, derived from the empirical findings of this study, should be considered within the broader context of Peru</w:t>
      </w:r>
      <w:r w:rsidR="007D6783">
        <w:rPr>
          <w:rFonts w:asciiTheme="majorHAnsi" w:hAnsiTheme="majorHAnsi" w:cstheme="majorHAnsi"/>
        </w:rPr>
        <w:t>’</w:t>
      </w:r>
      <w:r w:rsidRPr="00035C7B">
        <w:rPr>
          <w:rFonts w:asciiTheme="majorHAnsi" w:hAnsiTheme="majorHAnsi" w:cstheme="majorHAnsi"/>
        </w:rPr>
        <w:t>s economic and social policy landscape. Further research and careful evaluation of potential policy changes would be necessary to determine the most effective and feasible approaches to addressing the identified issues.</w:t>
      </w:r>
    </w:p>
    <w:p w14:paraId="0F96B258" w14:textId="3D0480E1" w:rsidR="0013073F" w:rsidRPr="00C77E8A" w:rsidRDefault="0013073F" w:rsidP="00C77E8A">
      <w:pPr>
        <w:pStyle w:val="Heading1"/>
        <w:numPr>
          <w:ilvl w:val="0"/>
          <w:numId w:val="0"/>
        </w:numPr>
        <w:spacing w:before="0"/>
        <w:ind w:left="432" w:hanging="432"/>
        <w:rPr>
          <w:lang w:val="es-CO"/>
        </w:rPr>
      </w:pPr>
      <w:r w:rsidRPr="00C77E8A">
        <w:rPr>
          <w:lang w:val="es-CO"/>
        </w:rPr>
        <w:lastRenderedPageBreak/>
        <w:t>References</w:t>
      </w:r>
    </w:p>
    <w:p w14:paraId="3B45853D" w14:textId="77777777" w:rsidR="00C77E8A" w:rsidRPr="00866589" w:rsidRDefault="00C77E8A" w:rsidP="00C77E8A">
      <w:pPr>
        <w:spacing w:after="0"/>
        <w:jc w:val="both"/>
        <w:rPr>
          <w:rFonts w:asciiTheme="majorHAnsi" w:hAnsiTheme="majorHAnsi" w:cstheme="majorHAnsi"/>
          <w:lang w:val="es-CO"/>
        </w:rPr>
      </w:pPr>
    </w:p>
    <w:p w14:paraId="62D92268" w14:textId="4D1860C7" w:rsidR="00C77E8A" w:rsidRDefault="00C77E8A" w:rsidP="00C77E8A">
      <w:pPr>
        <w:spacing w:after="0"/>
        <w:jc w:val="both"/>
        <w:rPr>
          <w:rFonts w:asciiTheme="majorHAnsi" w:hAnsiTheme="majorHAnsi" w:cstheme="majorHAnsi"/>
        </w:rPr>
      </w:pPr>
      <w:r w:rsidRPr="00C77E8A">
        <w:rPr>
          <w:rFonts w:asciiTheme="majorHAnsi" w:hAnsiTheme="majorHAnsi" w:cstheme="majorHAnsi"/>
          <w:lang w:val="es-CO"/>
        </w:rPr>
        <w:t xml:space="preserve">Berniell, I., Berniell, L., de la Mata, D., Edo, M., &amp; Marchionni, M. (2021). </w:t>
      </w:r>
      <w:r w:rsidRPr="00C77E8A">
        <w:rPr>
          <w:rFonts w:asciiTheme="majorHAnsi" w:hAnsiTheme="majorHAnsi" w:cstheme="majorHAnsi"/>
        </w:rPr>
        <w:t>Gender gaps in labor informality: The motherhood effect. Journal of Development Economics, 150, 102599.</w:t>
      </w:r>
    </w:p>
    <w:p w14:paraId="4DF49FA1" w14:textId="77777777" w:rsidR="00C77E8A" w:rsidRPr="00C77E8A" w:rsidRDefault="00C77E8A" w:rsidP="00C77E8A">
      <w:pPr>
        <w:spacing w:after="0"/>
        <w:jc w:val="both"/>
        <w:rPr>
          <w:rFonts w:asciiTheme="majorHAnsi" w:hAnsiTheme="majorHAnsi" w:cstheme="majorHAnsi"/>
        </w:rPr>
      </w:pPr>
    </w:p>
    <w:p w14:paraId="3F09EBA3" w14:textId="77777777" w:rsidR="00C77E8A" w:rsidRPr="00C77E8A" w:rsidRDefault="00C77E8A" w:rsidP="00C77E8A">
      <w:pPr>
        <w:spacing w:after="0"/>
        <w:jc w:val="both"/>
        <w:rPr>
          <w:rFonts w:asciiTheme="majorHAnsi" w:hAnsiTheme="majorHAnsi" w:cstheme="majorHAnsi"/>
        </w:rPr>
      </w:pPr>
      <w:r w:rsidRPr="00866589">
        <w:rPr>
          <w:rFonts w:asciiTheme="majorHAnsi" w:hAnsiTheme="majorHAnsi" w:cstheme="majorHAnsi"/>
          <w:lang w:val="es-CO"/>
        </w:rPr>
        <w:t xml:space="preserve">Escobal, J., &amp; Armas, C. (2018). El uso de transferencias monetarias condicionadas y la inversión en capital humano en el Perú. </w:t>
      </w:r>
      <w:r w:rsidRPr="00C77E8A">
        <w:rPr>
          <w:rFonts w:asciiTheme="majorHAnsi" w:hAnsiTheme="majorHAnsi" w:cstheme="majorHAnsi"/>
        </w:rPr>
        <w:t>Economía, 41(81), 9-40.</w:t>
      </w:r>
    </w:p>
    <w:p w14:paraId="62F2DE60" w14:textId="77777777" w:rsidR="00C77E8A" w:rsidRDefault="00C77E8A" w:rsidP="00C77E8A">
      <w:pPr>
        <w:spacing w:after="0"/>
        <w:jc w:val="both"/>
        <w:rPr>
          <w:rFonts w:asciiTheme="majorHAnsi" w:hAnsiTheme="majorHAnsi" w:cstheme="majorHAnsi"/>
        </w:rPr>
      </w:pPr>
    </w:p>
    <w:p w14:paraId="7AA1AFB7" w14:textId="3C9CB5AF" w:rsidR="00C77E8A" w:rsidRPr="00C77E8A" w:rsidRDefault="00C77E8A" w:rsidP="00C77E8A">
      <w:pPr>
        <w:spacing w:after="0"/>
        <w:jc w:val="both"/>
        <w:rPr>
          <w:rFonts w:asciiTheme="majorHAnsi" w:hAnsiTheme="majorHAnsi" w:cstheme="majorHAnsi"/>
        </w:rPr>
      </w:pPr>
      <w:r w:rsidRPr="00C77E8A">
        <w:rPr>
          <w:rFonts w:asciiTheme="majorHAnsi" w:hAnsiTheme="majorHAnsi" w:cstheme="majorHAnsi"/>
        </w:rPr>
        <w:t>Grown, C., &amp; Valodia, I. (2010). Taxation and gender equity: A comparative analysis of direct and indirect taxes in developing countries. International Development Research Centre.</w:t>
      </w:r>
    </w:p>
    <w:p w14:paraId="24FA9990" w14:textId="77777777" w:rsidR="00C77E8A" w:rsidRDefault="00C77E8A" w:rsidP="00C77E8A">
      <w:pPr>
        <w:spacing w:after="0"/>
        <w:jc w:val="both"/>
        <w:rPr>
          <w:rFonts w:asciiTheme="majorHAnsi" w:hAnsiTheme="majorHAnsi" w:cstheme="majorHAnsi"/>
        </w:rPr>
      </w:pPr>
    </w:p>
    <w:p w14:paraId="27DF0814" w14:textId="1A4A06FB" w:rsidR="00C77E8A" w:rsidRPr="00866589" w:rsidRDefault="00C77E8A" w:rsidP="00C77E8A">
      <w:pPr>
        <w:spacing w:after="0"/>
        <w:jc w:val="both"/>
        <w:rPr>
          <w:rFonts w:asciiTheme="majorHAnsi" w:hAnsiTheme="majorHAnsi" w:cstheme="majorHAnsi"/>
          <w:lang w:val="es-CO"/>
        </w:rPr>
      </w:pPr>
      <w:r w:rsidRPr="00C77E8A">
        <w:rPr>
          <w:rFonts w:asciiTheme="majorHAnsi" w:hAnsiTheme="majorHAnsi" w:cstheme="majorHAnsi"/>
        </w:rPr>
        <w:t xml:space="preserve">Grown, C., &amp; Mascagni, G. (2024). Towards Gender Equality in Tax and Fiscal Systems: Moving Beyond the Implicit-Explicit Bias Framework. </w:t>
      </w:r>
      <w:r w:rsidRPr="00866589">
        <w:rPr>
          <w:rFonts w:asciiTheme="majorHAnsi" w:hAnsiTheme="majorHAnsi" w:cstheme="majorHAnsi"/>
          <w:lang w:val="es-CO"/>
        </w:rPr>
        <w:t>ICTD Policy Brief 5.</w:t>
      </w:r>
    </w:p>
    <w:p w14:paraId="3FDA4350" w14:textId="77777777" w:rsidR="00C77E8A" w:rsidRPr="00866589" w:rsidRDefault="00C77E8A" w:rsidP="00C77E8A">
      <w:pPr>
        <w:spacing w:after="0"/>
        <w:jc w:val="both"/>
        <w:rPr>
          <w:rFonts w:asciiTheme="majorHAnsi" w:hAnsiTheme="majorHAnsi" w:cstheme="majorHAnsi"/>
          <w:lang w:val="es-CO"/>
        </w:rPr>
      </w:pPr>
    </w:p>
    <w:p w14:paraId="32459FD6" w14:textId="3CE1DCA4" w:rsidR="00C77E8A" w:rsidRPr="00866589" w:rsidRDefault="00C77E8A" w:rsidP="00C77E8A">
      <w:pPr>
        <w:spacing w:after="0"/>
        <w:jc w:val="both"/>
        <w:rPr>
          <w:rFonts w:asciiTheme="majorHAnsi" w:hAnsiTheme="majorHAnsi" w:cstheme="majorHAnsi"/>
          <w:lang w:val="es-CO"/>
        </w:rPr>
      </w:pPr>
      <w:r w:rsidRPr="00C77E8A">
        <w:rPr>
          <w:rFonts w:asciiTheme="majorHAnsi" w:hAnsiTheme="majorHAnsi" w:cstheme="majorHAnsi"/>
          <w:lang w:val="es-CO"/>
        </w:rPr>
        <w:t xml:space="preserve">Instituto Nacional de Estadística e Informática (INEI). </w:t>
      </w:r>
      <w:r w:rsidRPr="00866589">
        <w:rPr>
          <w:rFonts w:asciiTheme="majorHAnsi" w:hAnsiTheme="majorHAnsi" w:cstheme="majorHAnsi"/>
          <w:lang w:val="es-CO"/>
        </w:rPr>
        <w:t>(2023). Perú: Brechas de Género, 2023: Avances hacia la igualdad de mujeres y hombres.</w:t>
      </w:r>
    </w:p>
    <w:p w14:paraId="66F9BB23" w14:textId="77777777" w:rsidR="00C77E8A" w:rsidRPr="00866589" w:rsidRDefault="00C77E8A" w:rsidP="00C77E8A">
      <w:pPr>
        <w:spacing w:after="0"/>
        <w:jc w:val="both"/>
        <w:rPr>
          <w:rFonts w:asciiTheme="majorHAnsi" w:hAnsiTheme="majorHAnsi" w:cstheme="majorHAnsi"/>
          <w:lang w:val="es-CO"/>
        </w:rPr>
      </w:pPr>
    </w:p>
    <w:p w14:paraId="34E39337" w14:textId="13A51BB6" w:rsidR="00C77E8A" w:rsidRDefault="00C77E8A" w:rsidP="00C77E8A">
      <w:pPr>
        <w:spacing w:after="0"/>
        <w:jc w:val="both"/>
        <w:rPr>
          <w:rFonts w:asciiTheme="majorHAnsi" w:hAnsiTheme="majorHAnsi" w:cstheme="majorHAnsi"/>
          <w:lang w:val="es-CO"/>
        </w:rPr>
      </w:pPr>
      <w:r w:rsidRPr="00C77E8A">
        <w:rPr>
          <w:rFonts w:asciiTheme="majorHAnsi" w:hAnsiTheme="majorHAnsi" w:cstheme="majorHAnsi"/>
          <w:lang w:val="es-CO"/>
        </w:rPr>
        <w:t xml:space="preserve">Instituto Nacional de Estadística e Informática (INEI). </w:t>
      </w:r>
      <w:r w:rsidRPr="00866589">
        <w:rPr>
          <w:rFonts w:asciiTheme="majorHAnsi" w:hAnsiTheme="majorHAnsi" w:cstheme="majorHAnsi"/>
          <w:lang w:val="es-CO"/>
        </w:rPr>
        <w:t xml:space="preserve">(2024). </w:t>
      </w:r>
      <w:r w:rsidRPr="00C77E8A">
        <w:rPr>
          <w:rFonts w:asciiTheme="majorHAnsi" w:hAnsiTheme="majorHAnsi" w:cstheme="majorHAnsi"/>
          <w:lang w:val="es-CO"/>
        </w:rPr>
        <w:t>Perú: Evolución de la Pobreza Monetaria, 2014-2023</w:t>
      </w:r>
      <w:r>
        <w:rPr>
          <w:rFonts w:asciiTheme="majorHAnsi" w:hAnsiTheme="majorHAnsi" w:cstheme="majorHAnsi"/>
          <w:lang w:val="es-CO"/>
        </w:rPr>
        <w:t>.</w:t>
      </w:r>
    </w:p>
    <w:p w14:paraId="6243B1F2" w14:textId="77777777" w:rsidR="00C77E8A" w:rsidRPr="00C77E8A" w:rsidRDefault="00C77E8A" w:rsidP="00C77E8A">
      <w:pPr>
        <w:spacing w:after="0"/>
        <w:jc w:val="both"/>
        <w:rPr>
          <w:rFonts w:asciiTheme="majorHAnsi" w:hAnsiTheme="majorHAnsi" w:cstheme="majorHAnsi"/>
          <w:lang w:val="es-CO"/>
        </w:rPr>
      </w:pPr>
    </w:p>
    <w:p w14:paraId="262F729F" w14:textId="0DDB65F8" w:rsidR="00C77E8A" w:rsidRPr="00C77E8A" w:rsidRDefault="00C77E8A" w:rsidP="00C77E8A">
      <w:pPr>
        <w:spacing w:after="0"/>
        <w:jc w:val="both"/>
        <w:rPr>
          <w:rFonts w:asciiTheme="majorHAnsi" w:hAnsiTheme="majorHAnsi" w:cstheme="majorHAnsi"/>
        </w:rPr>
      </w:pPr>
      <w:r w:rsidRPr="00C77E8A">
        <w:rPr>
          <w:rFonts w:asciiTheme="majorHAnsi" w:hAnsiTheme="majorHAnsi" w:cstheme="majorHAnsi"/>
        </w:rPr>
        <w:t>Kleven, H., Landais, C., Posch, J., Steinhauer, A., &amp; Zweimüller, J. (2023). Child penalties across countries: Evidence and explanations. Journal of Economic Perspectives, 37(1), 123-148.</w:t>
      </w:r>
    </w:p>
    <w:p w14:paraId="6963E5AC" w14:textId="77777777" w:rsidR="00C77E8A" w:rsidRDefault="00C77E8A" w:rsidP="00C77E8A">
      <w:pPr>
        <w:spacing w:after="0"/>
        <w:jc w:val="both"/>
        <w:rPr>
          <w:rFonts w:asciiTheme="majorHAnsi" w:hAnsiTheme="majorHAnsi" w:cstheme="majorHAnsi"/>
        </w:rPr>
      </w:pPr>
    </w:p>
    <w:p w14:paraId="054CFF1A" w14:textId="49F57A5C" w:rsidR="00C77E8A" w:rsidRPr="00C77E8A" w:rsidRDefault="00C77E8A" w:rsidP="00C77E8A">
      <w:pPr>
        <w:spacing w:after="0"/>
        <w:jc w:val="both"/>
        <w:rPr>
          <w:rFonts w:asciiTheme="majorHAnsi" w:hAnsiTheme="majorHAnsi" w:cstheme="majorHAnsi"/>
        </w:rPr>
      </w:pPr>
      <w:r w:rsidRPr="00C77E8A">
        <w:rPr>
          <w:rFonts w:asciiTheme="majorHAnsi" w:hAnsiTheme="majorHAnsi" w:cstheme="majorHAnsi"/>
        </w:rPr>
        <w:t>Lustig, N. (Ed.). (2018). Commitment to Equity Handbook: Estimating the Impact of Fiscal Policy on Inequality and Poverty. Brookings Institution Press and CEQ Institute.</w:t>
      </w:r>
    </w:p>
    <w:p w14:paraId="14298C39" w14:textId="77777777" w:rsidR="00C77E8A" w:rsidRDefault="00C77E8A" w:rsidP="00C77E8A">
      <w:pPr>
        <w:spacing w:after="0"/>
        <w:jc w:val="both"/>
        <w:rPr>
          <w:rFonts w:asciiTheme="majorHAnsi" w:hAnsiTheme="majorHAnsi" w:cstheme="majorHAnsi"/>
        </w:rPr>
      </w:pPr>
    </w:p>
    <w:p w14:paraId="75E34AE7" w14:textId="386EF7EA" w:rsidR="00C77E8A" w:rsidRPr="00C77E8A" w:rsidRDefault="00C77E8A" w:rsidP="00C77E8A">
      <w:pPr>
        <w:spacing w:after="0"/>
        <w:jc w:val="both"/>
        <w:rPr>
          <w:rFonts w:asciiTheme="majorHAnsi" w:hAnsiTheme="majorHAnsi" w:cstheme="majorHAnsi"/>
        </w:rPr>
      </w:pPr>
      <w:r w:rsidRPr="00C77E8A">
        <w:rPr>
          <w:rFonts w:asciiTheme="majorHAnsi" w:hAnsiTheme="majorHAnsi" w:cstheme="majorHAnsi"/>
        </w:rPr>
        <w:t>Muñoz Boudet, A. M., Buitrago, P., Leroy De La Brière, B., Newhouse, D. L., Rubiano Matulevich, E. C., Scott, K., &amp; Suarez-Becerra, P. (2018). Gender differences in poverty and household composition through the life-cycle: A global perspective. World Bank Policy Research Working Paper, (8360).</w:t>
      </w:r>
    </w:p>
    <w:p w14:paraId="11CE82A6" w14:textId="77777777" w:rsidR="00C77E8A" w:rsidRDefault="00C77E8A" w:rsidP="00C77E8A">
      <w:pPr>
        <w:spacing w:after="0"/>
        <w:jc w:val="both"/>
        <w:rPr>
          <w:rFonts w:asciiTheme="majorHAnsi" w:hAnsiTheme="majorHAnsi" w:cstheme="majorHAnsi"/>
        </w:rPr>
      </w:pPr>
    </w:p>
    <w:p w14:paraId="2BBD848B" w14:textId="18F533BC" w:rsidR="00C77E8A" w:rsidRDefault="00C77E8A" w:rsidP="00C77E8A">
      <w:pPr>
        <w:spacing w:after="0"/>
        <w:jc w:val="both"/>
        <w:rPr>
          <w:rFonts w:asciiTheme="majorHAnsi" w:hAnsiTheme="majorHAnsi" w:cstheme="majorHAnsi"/>
        </w:rPr>
      </w:pPr>
      <w:r w:rsidRPr="00C77E8A">
        <w:rPr>
          <w:rFonts w:asciiTheme="majorHAnsi" w:hAnsiTheme="majorHAnsi" w:cstheme="majorHAnsi"/>
        </w:rPr>
        <w:t>Muñoz Boudet, A. M., Bhatt, A., Azcona, G., Yoo, J., &amp; Beegle, K. (2021). A Global View of Poverty, Gender, and Household Composition. World Bank Policy Research Working Paper, (9762).</w:t>
      </w:r>
    </w:p>
    <w:p w14:paraId="7CCF4BA8" w14:textId="77777777" w:rsidR="00C77E8A" w:rsidRPr="00C77E8A" w:rsidRDefault="00C77E8A" w:rsidP="00C77E8A">
      <w:pPr>
        <w:spacing w:after="0"/>
        <w:jc w:val="both"/>
        <w:rPr>
          <w:rFonts w:asciiTheme="majorHAnsi" w:hAnsiTheme="majorHAnsi" w:cstheme="majorHAnsi"/>
        </w:rPr>
      </w:pPr>
    </w:p>
    <w:p w14:paraId="20928F75" w14:textId="77777777" w:rsidR="00C77E8A" w:rsidRDefault="00C77E8A" w:rsidP="00C77E8A">
      <w:pPr>
        <w:spacing w:after="0"/>
        <w:jc w:val="both"/>
        <w:rPr>
          <w:rFonts w:asciiTheme="majorHAnsi" w:hAnsiTheme="majorHAnsi" w:cstheme="majorHAnsi"/>
        </w:rPr>
      </w:pPr>
      <w:r w:rsidRPr="00C77E8A">
        <w:rPr>
          <w:rFonts w:asciiTheme="majorHAnsi" w:hAnsiTheme="majorHAnsi" w:cstheme="majorHAnsi"/>
        </w:rPr>
        <w:t>OECD. (2019). Enabling Women's Economic Empowerment: New Approaches to Unpaid Care Work in Developing Countries. OECD Publishing.</w:t>
      </w:r>
    </w:p>
    <w:p w14:paraId="22A8D59D" w14:textId="77777777" w:rsidR="00C77E8A" w:rsidRPr="00C77E8A" w:rsidRDefault="00C77E8A" w:rsidP="00C77E8A">
      <w:pPr>
        <w:spacing w:after="0"/>
        <w:jc w:val="both"/>
        <w:rPr>
          <w:rFonts w:asciiTheme="majorHAnsi" w:hAnsiTheme="majorHAnsi" w:cstheme="majorHAnsi"/>
        </w:rPr>
      </w:pPr>
    </w:p>
    <w:p w14:paraId="31962F81" w14:textId="77777777" w:rsidR="00C77E8A" w:rsidRPr="00C77E8A" w:rsidRDefault="00C77E8A" w:rsidP="00C77E8A">
      <w:pPr>
        <w:spacing w:after="0"/>
        <w:jc w:val="both"/>
        <w:rPr>
          <w:rFonts w:asciiTheme="majorHAnsi" w:hAnsiTheme="majorHAnsi" w:cstheme="majorHAnsi"/>
        </w:rPr>
      </w:pPr>
      <w:r w:rsidRPr="00C77E8A">
        <w:rPr>
          <w:rFonts w:asciiTheme="majorHAnsi" w:hAnsiTheme="majorHAnsi" w:cstheme="majorHAnsi"/>
        </w:rPr>
        <w:t>Superintendencia de Banca, Seguros y AFP (SBS). (2023). [Title of the specific report or dataset used].</w:t>
      </w:r>
    </w:p>
    <w:p w14:paraId="69A943F3" w14:textId="77777777" w:rsidR="00C77E8A" w:rsidRDefault="00C77E8A" w:rsidP="00C77E8A">
      <w:pPr>
        <w:spacing w:after="0"/>
        <w:jc w:val="both"/>
        <w:rPr>
          <w:rFonts w:asciiTheme="majorHAnsi" w:hAnsiTheme="majorHAnsi" w:cstheme="majorHAnsi"/>
        </w:rPr>
      </w:pPr>
      <w:r w:rsidRPr="00C77E8A">
        <w:rPr>
          <w:rFonts w:asciiTheme="majorHAnsi" w:hAnsiTheme="majorHAnsi" w:cstheme="majorHAnsi"/>
        </w:rPr>
        <w:t>United Nations. (2007). Handbook on Rural Households' Livelihood and Well-Being.</w:t>
      </w:r>
    </w:p>
    <w:p w14:paraId="23812B0B" w14:textId="77777777" w:rsidR="00C77E8A" w:rsidRPr="00C77E8A" w:rsidRDefault="00C77E8A" w:rsidP="00C77E8A">
      <w:pPr>
        <w:spacing w:after="0"/>
        <w:jc w:val="both"/>
        <w:rPr>
          <w:rFonts w:asciiTheme="majorHAnsi" w:hAnsiTheme="majorHAnsi" w:cstheme="majorHAnsi"/>
        </w:rPr>
      </w:pPr>
    </w:p>
    <w:p w14:paraId="1DA0A42F" w14:textId="77777777" w:rsidR="00C77E8A" w:rsidRDefault="00C77E8A" w:rsidP="00C77E8A">
      <w:pPr>
        <w:spacing w:after="0"/>
        <w:jc w:val="both"/>
        <w:rPr>
          <w:rFonts w:asciiTheme="majorHAnsi" w:hAnsiTheme="majorHAnsi" w:cstheme="majorHAnsi"/>
        </w:rPr>
      </w:pPr>
      <w:r w:rsidRPr="00C77E8A">
        <w:rPr>
          <w:rFonts w:asciiTheme="majorHAnsi" w:hAnsiTheme="majorHAnsi" w:cstheme="majorHAnsi"/>
        </w:rPr>
        <w:t>Valdivia, M., Celiku, B., &amp; Ubfal, D. (forthcoming). Gender Gaps in the Performance of Small Firms: Evidence from Urban Peru.</w:t>
      </w:r>
    </w:p>
    <w:p w14:paraId="636463BD" w14:textId="77777777" w:rsidR="00C77E8A" w:rsidRPr="00C77E8A" w:rsidRDefault="00C77E8A" w:rsidP="00C77E8A">
      <w:pPr>
        <w:spacing w:after="0"/>
        <w:jc w:val="both"/>
        <w:rPr>
          <w:rFonts w:asciiTheme="majorHAnsi" w:hAnsiTheme="majorHAnsi" w:cstheme="majorHAnsi"/>
        </w:rPr>
      </w:pPr>
    </w:p>
    <w:p w14:paraId="36C76FEC" w14:textId="77777777" w:rsidR="00C77E8A" w:rsidRDefault="00C77E8A" w:rsidP="00C77E8A">
      <w:pPr>
        <w:spacing w:after="0"/>
        <w:jc w:val="both"/>
        <w:rPr>
          <w:rFonts w:asciiTheme="majorHAnsi" w:hAnsiTheme="majorHAnsi" w:cstheme="majorHAnsi"/>
        </w:rPr>
      </w:pPr>
      <w:r w:rsidRPr="00C77E8A">
        <w:rPr>
          <w:rFonts w:asciiTheme="majorHAnsi" w:hAnsiTheme="majorHAnsi" w:cstheme="majorHAnsi"/>
        </w:rPr>
        <w:t>World Bank. (2012). World Development Report 2012: Gender Equality and Development.</w:t>
      </w:r>
    </w:p>
    <w:p w14:paraId="1C06BA56" w14:textId="77777777" w:rsidR="00C77E8A" w:rsidRPr="00C77E8A" w:rsidRDefault="00C77E8A" w:rsidP="00C77E8A">
      <w:pPr>
        <w:spacing w:after="0"/>
        <w:jc w:val="both"/>
        <w:rPr>
          <w:rFonts w:asciiTheme="majorHAnsi" w:hAnsiTheme="majorHAnsi" w:cstheme="majorHAnsi"/>
        </w:rPr>
      </w:pPr>
    </w:p>
    <w:p w14:paraId="1C1D8A34" w14:textId="77777777" w:rsidR="00C77E8A" w:rsidRDefault="00C77E8A" w:rsidP="00C77E8A">
      <w:pPr>
        <w:spacing w:after="0"/>
        <w:jc w:val="both"/>
        <w:rPr>
          <w:rFonts w:asciiTheme="majorHAnsi" w:hAnsiTheme="majorHAnsi" w:cstheme="majorHAnsi"/>
        </w:rPr>
      </w:pPr>
      <w:r w:rsidRPr="00C77E8A">
        <w:rPr>
          <w:rFonts w:asciiTheme="majorHAnsi" w:hAnsiTheme="majorHAnsi" w:cstheme="majorHAnsi"/>
        </w:rPr>
        <w:lastRenderedPageBreak/>
        <w:t>World Bank. (2023). Rising Strong: Peru Poverty Assessment. World Bank Group.</w:t>
      </w:r>
    </w:p>
    <w:p w14:paraId="7E82CA50" w14:textId="77777777" w:rsidR="00C77E8A" w:rsidRPr="00C77E8A" w:rsidRDefault="00C77E8A" w:rsidP="00C77E8A">
      <w:pPr>
        <w:spacing w:after="0"/>
        <w:jc w:val="both"/>
        <w:rPr>
          <w:rFonts w:asciiTheme="majorHAnsi" w:hAnsiTheme="majorHAnsi" w:cstheme="majorHAnsi"/>
        </w:rPr>
      </w:pPr>
    </w:p>
    <w:p w14:paraId="344B9BB9" w14:textId="77777777" w:rsidR="00C77E8A" w:rsidRDefault="00C77E8A" w:rsidP="00C77E8A">
      <w:pPr>
        <w:spacing w:after="0"/>
        <w:jc w:val="both"/>
        <w:rPr>
          <w:rFonts w:asciiTheme="majorHAnsi" w:hAnsiTheme="majorHAnsi" w:cstheme="majorHAnsi"/>
        </w:rPr>
      </w:pPr>
      <w:r w:rsidRPr="00C77E8A">
        <w:rPr>
          <w:rFonts w:asciiTheme="majorHAnsi" w:hAnsiTheme="majorHAnsi" w:cstheme="majorHAnsi"/>
        </w:rPr>
        <w:t>World Bank. (2023). Women, Business and the Law 2024. World Bank Group.</w:t>
      </w:r>
    </w:p>
    <w:p w14:paraId="437A1ACA" w14:textId="77777777" w:rsidR="00C77E8A" w:rsidRPr="00C77E8A" w:rsidRDefault="00C77E8A" w:rsidP="00C77E8A">
      <w:pPr>
        <w:spacing w:after="0"/>
        <w:jc w:val="both"/>
        <w:rPr>
          <w:rFonts w:asciiTheme="majorHAnsi" w:hAnsiTheme="majorHAnsi" w:cstheme="majorHAnsi"/>
        </w:rPr>
      </w:pPr>
    </w:p>
    <w:p w14:paraId="53A1CFD6" w14:textId="0A934F24" w:rsidR="00C77E8A" w:rsidRPr="00C77E8A" w:rsidRDefault="00C77E8A" w:rsidP="00C77E8A">
      <w:pPr>
        <w:spacing w:after="0"/>
        <w:jc w:val="both"/>
        <w:rPr>
          <w:rFonts w:asciiTheme="majorHAnsi" w:hAnsiTheme="majorHAnsi" w:cstheme="majorHAnsi"/>
        </w:rPr>
      </w:pPr>
      <w:r w:rsidRPr="00C77E8A">
        <w:rPr>
          <w:rFonts w:asciiTheme="majorHAnsi" w:hAnsiTheme="majorHAnsi" w:cstheme="majorHAnsi"/>
        </w:rPr>
        <w:t>World Bank. (forthcoming). Peru Country Economic Memorandum.</w:t>
      </w:r>
      <w:r>
        <w:rPr>
          <w:rFonts w:asciiTheme="majorHAnsi" w:hAnsiTheme="majorHAnsi" w:cstheme="majorHAnsi"/>
        </w:rPr>
        <w:t xml:space="preserve"> </w:t>
      </w:r>
      <w:r w:rsidRPr="00C77E8A">
        <w:rPr>
          <w:rFonts w:asciiTheme="majorHAnsi" w:hAnsiTheme="majorHAnsi" w:cstheme="majorHAnsi"/>
        </w:rPr>
        <w:t>World Bank Group.</w:t>
      </w:r>
    </w:p>
    <w:p w14:paraId="46A05E89" w14:textId="77777777" w:rsidR="00AE3E4C" w:rsidRPr="003276E2" w:rsidRDefault="00AE3E4C" w:rsidP="00035C7B">
      <w:pPr>
        <w:spacing w:after="0"/>
        <w:jc w:val="both"/>
        <w:rPr>
          <w:rFonts w:asciiTheme="majorHAnsi" w:hAnsiTheme="majorHAnsi" w:cstheme="majorHAnsi"/>
        </w:rPr>
      </w:pPr>
    </w:p>
    <w:p w14:paraId="415A33E2" w14:textId="77777777" w:rsidR="001205F9" w:rsidRPr="003276E2" w:rsidRDefault="001205F9" w:rsidP="00035C7B">
      <w:pPr>
        <w:spacing w:after="0"/>
        <w:jc w:val="both"/>
        <w:rPr>
          <w:rFonts w:asciiTheme="majorHAnsi" w:hAnsiTheme="majorHAnsi" w:cstheme="majorHAnsi"/>
        </w:rPr>
      </w:pPr>
    </w:p>
    <w:sectPr w:rsidR="001205F9" w:rsidRPr="003276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E8BCE" w14:textId="77777777" w:rsidR="006728DC" w:rsidRDefault="006728DC" w:rsidP="001205F9">
      <w:pPr>
        <w:spacing w:after="0" w:line="240" w:lineRule="auto"/>
      </w:pPr>
      <w:r>
        <w:separator/>
      </w:r>
    </w:p>
  </w:endnote>
  <w:endnote w:type="continuationSeparator" w:id="0">
    <w:p w14:paraId="30A75B25" w14:textId="77777777" w:rsidR="006728DC" w:rsidRDefault="006728DC" w:rsidP="001205F9">
      <w:pPr>
        <w:spacing w:after="0" w:line="240" w:lineRule="auto"/>
      </w:pPr>
      <w:r>
        <w:continuationSeparator/>
      </w:r>
    </w:p>
  </w:endnote>
  <w:endnote w:type="continuationNotice" w:id="1">
    <w:p w14:paraId="51E10542" w14:textId="77777777" w:rsidR="006728DC" w:rsidRDefault="006728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7FF0D" w14:textId="345C56B5" w:rsidR="00C97C9E" w:rsidRDefault="00C97C9E">
    <w:pPr>
      <w:pStyle w:val="Footer"/>
    </w:pPr>
    <w:r>
      <w:rPr>
        <w:noProof/>
      </w:rPr>
      <mc:AlternateContent>
        <mc:Choice Requires="wps">
          <w:drawing>
            <wp:anchor distT="0" distB="0" distL="0" distR="0" simplePos="0" relativeHeight="251659264" behindDoc="0" locked="0" layoutInCell="1" allowOverlap="1" wp14:anchorId="5577315F" wp14:editId="7DCA6ED5">
              <wp:simplePos x="635" y="635"/>
              <wp:positionH relativeFrom="page">
                <wp:align>right</wp:align>
              </wp:positionH>
              <wp:positionV relativeFrom="page">
                <wp:align>bottom</wp:align>
              </wp:positionV>
              <wp:extent cx="1170305" cy="357505"/>
              <wp:effectExtent l="0" t="0" r="0" b="0"/>
              <wp:wrapNone/>
              <wp:docPr id="199291997"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0305" cy="357505"/>
                      </a:xfrm>
                      <a:prstGeom prst="rect">
                        <a:avLst/>
                      </a:prstGeom>
                      <a:noFill/>
                      <a:ln>
                        <a:noFill/>
                      </a:ln>
                    </wps:spPr>
                    <wps:txbx>
                      <w:txbxContent>
                        <w:p w14:paraId="057A10BE" w14:textId="36E1062A" w:rsidR="00C97C9E" w:rsidRPr="00C97C9E" w:rsidRDefault="00C97C9E" w:rsidP="00C97C9E">
                          <w:pPr>
                            <w:spacing w:after="0"/>
                            <w:rPr>
                              <w:rFonts w:ascii="Aptos" w:eastAsia="Aptos" w:hAnsi="Aptos" w:cs="Aptos"/>
                              <w:noProof/>
                              <w:color w:val="000000"/>
                              <w:sz w:val="20"/>
                              <w:szCs w:val="20"/>
                            </w:rPr>
                          </w:pPr>
                          <w:r w:rsidRPr="00C97C9E">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577315F" id="_x0000_t202" coordsize="21600,21600" o:spt="202" path="m,l,21600r21600,l21600,xe">
              <v:stroke joinstyle="miter"/>
              <v:path gradientshapeok="t" o:connecttype="rect"/>
            </v:shapetype>
            <v:shape id="Text Box 2" o:spid="_x0000_s1026" type="#_x0000_t202" alt="Official Use Only" style="position:absolute;margin-left:40.95pt;margin-top:0;width:92.15pt;height:28.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" filled="f" stroked="f">
              <v:fill o:detectmouseclick="t"/>
              <v:textbox style="mso-fit-shape-to-text:t" inset="0,0,20pt,15pt">
                <w:txbxContent>
                  <w:p w14:paraId="057A10BE" w14:textId="36E1062A" w:rsidR="00C97C9E" w:rsidRPr="00C97C9E" w:rsidRDefault="00C97C9E" w:rsidP="00C97C9E">
                    <w:pPr>
                      <w:spacing w:after="0"/>
                      <w:rPr>
                        <w:rFonts w:ascii="Aptos" w:eastAsia="Aptos" w:hAnsi="Aptos" w:cs="Aptos"/>
                        <w:noProof/>
                        <w:color w:val="000000"/>
                        <w:sz w:val="20"/>
                        <w:szCs w:val="20"/>
                      </w:rPr>
                    </w:pPr>
                    <w:r w:rsidRPr="00C97C9E">
                      <w:rPr>
                        <w:rFonts w:ascii="Aptos" w:eastAsia="Aptos" w:hAnsi="Aptos" w:cs="Aptos"/>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70C5B" w14:textId="709F0A4D" w:rsidR="00464870" w:rsidRDefault="00C97C9E">
    <w:pPr>
      <w:pStyle w:val="Footer"/>
      <w:jc w:val="right"/>
    </w:pPr>
    <w:r>
      <w:rPr>
        <w:noProof/>
      </w:rPr>
      <mc:AlternateContent>
        <mc:Choice Requires="wps">
          <w:drawing>
            <wp:anchor distT="0" distB="0" distL="0" distR="0" simplePos="0" relativeHeight="251660288" behindDoc="0" locked="0" layoutInCell="1" allowOverlap="1" wp14:anchorId="205B22F6" wp14:editId="439BFCF2">
              <wp:simplePos x="635" y="635"/>
              <wp:positionH relativeFrom="page">
                <wp:align>right</wp:align>
              </wp:positionH>
              <wp:positionV relativeFrom="page">
                <wp:align>bottom</wp:align>
              </wp:positionV>
              <wp:extent cx="1170305" cy="357505"/>
              <wp:effectExtent l="0" t="0" r="0" b="0"/>
              <wp:wrapNone/>
              <wp:docPr id="193992097"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0305" cy="357505"/>
                      </a:xfrm>
                      <a:prstGeom prst="rect">
                        <a:avLst/>
                      </a:prstGeom>
                      <a:noFill/>
                      <a:ln>
                        <a:noFill/>
                      </a:ln>
                    </wps:spPr>
                    <wps:txbx>
                      <w:txbxContent>
                        <w:p w14:paraId="21E4B78A" w14:textId="5E62000C" w:rsidR="00C97C9E" w:rsidRPr="00C97C9E" w:rsidRDefault="00C97C9E" w:rsidP="00C97C9E">
                          <w:pPr>
                            <w:spacing w:after="0"/>
                            <w:rPr>
                              <w:rFonts w:ascii="Aptos" w:eastAsia="Aptos" w:hAnsi="Aptos" w:cs="Aptos"/>
                              <w:noProof/>
                              <w:color w:val="000000"/>
                              <w:sz w:val="20"/>
                              <w:szCs w:val="20"/>
                            </w:rPr>
                          </w:pPr>
                          <w:r w:rsidRPr="00C97C9E">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05B22F6" id="_x0000_t202" coordsize="21600,21600" o:spt="202" path="m,l,21600r21600,l21600,xe">
              <v:stroke joinstyle="miter"/>
              <v:path gradientshapeok="t" o:connecttype="rect"/>
            </v:shapetype>
            <v:shape id="Text Box 3" o:spid="_x0000_s1027" type="#_x0000_t202" alt="Official Use Only" style="position:absolute;left:0;text-align:left;margin-left:40.95pt;margin-top:0;width:92.15pt;height:28.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" filled="f" stroked="f">
              <v:fill o:detectmouseclick="t"/>
              <v:textbox style="mso-fit-shape-to-text:t" inset="0,0,20pt,15pt">
                <w:txbxContent>
                  <w:p w14:paraId="21E4B78A" w14:textId="5E62000C" w:rsidR="00C97C9E" w:rsidRPr="00C97C9E" w:rsidRDefault="00C97C9E" w:rsidP="00C97C9E">
                    <w:pPr>
                      <w:spacing w:after="0"/>
                      <w:rPr>
                        <w:rFonts w:ascii="Aptos" w:eastAsia="Aptos" w:hAnsi="Aptos" w:cs="Aptos"/>
                        <w:noProof/>
                        <w:color w:val="000000"/>
                        <w:sz w:val="20"/>
                        <w:szCs w:val="20"/>
                      </w:rPr>
                    </w:pPr>
                    <w:r w:rsidRPr="00C97C9E">
                      <w:rPr>
                        <w:rFonts w:ascii="Aptos" w:eastAsia="Aptos" w:hAnsi="Aptos" w:cs="Aptos"/>
                        <w:noProof/>
                        <w:color w:val="000000"/>
                        <w:sz w:val="20"/>
                        <w:szCs w:val="20"/>
                      </w:rPr>
                      <w:t>Official Use Only</w:t>
                    </w:r>
                  </w:p>
                </w:txbxContent>
              </v:textbox>
              <w10:wrap anchorx="page" anchory="page"/>
            </v:shape>
          </w:pict>
        </mc:Fallback>
      </mc:AlternateContent>
    </w:r>
    <w:sdt>
      <w:sdtPr>
        <w:id w:val="-376548024"/>
        <w:docPartObj>
          <w:docPartGallery w:val="Page Numbers (Bottom of Page)"/>
          <w:docPartUnique/>
        </w:docPartObj>
      </w:sdtPr>
      <w:sdtEndPr>
        <w:rPr>
          <w:noProof/>
        </w:rPr>
      </w:sdtEndPr>
      <w:sdtContent>
        <w:r w:rsidR="00464870">
          <w:fldChar w:fldCharType="begin"/>
        </w:r>
        <w:r w:rsidR="00464870">
          <w:instrText xml:space="preserve"> PAGE   \* MERGEFORMAT </w:instrText>
        </w:r>
        <w:r w:rsidR="00464870">
          <w:fldChar w:fldCharType="separate"/>
        </w:r>
        <w:r w:rsidR="00464870">
          <w:rPr>
            <w:noProof/>
          </w:rPr>
          <w:t>2</w:t>
        </w:r>
        <w:r w:rsidR="00464870">
          <w:rPr>
            <w:noProof/>
          </w:rPr>
          <w:fldChar w:fldCharType="end"/>
        </w:r>
      </w:sdtContent>
    </w:sdt>
  </w:p>
  <w:p w14:paraId="362E65EF" w14:textId="77777777" w:rsidR="00464870" w:rsidRDefault="00464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E47DC" w14:textId="5286388B" w:rsidR="00C97C9E" w:rsidRDefault="00C97C9E">
    <w:pPr>
      <w:pStyle w:val="Footer"/>
    </w:pPr>
    <w:r>
      <w:rPr>
        <w:noProof/>
      </w:rPr>
      <mc:AlternateContent>
        <mc:Choice Requires="wps">
          <w:drawing>
            <wp:anchor distT="0" distB="0" distL="0" distR="0" simplePos="0" relativeHeight="251658240" behindDoc="0" locked="0" layoutInCell="1" allowOverlap="1" wp14:anchorId="023409B6" wp14:editId="4AE08AEE">
              <wp:simplePos x="635" y="635"/>
              <wp:positionH relativeFrom="page">
                <wp:align>right</wp:align>
              </wp:positionH>
              <wp:positionV relativeFrom="page">
                <wp:align>bottom</wp:align>
              </wp:positionV>
              <wp:extent cx="1170305" cy="357505"/>
              <wp:effectExtent l="0" t="0" r="0" b="0"/>
              <wp:wrapNone/>
              <wp:docPr id="661034247"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0305" cy="357505"/>
                      </a:xfrm>
                      <a:prstGeom prst="rect">
                        <a:avLst/>
                      </a:prstGeom>
                      <a:noFill/>
                      <a:ln>
                        <a:noFill/>
                      </a:ln>
                    </wps:spPr>
                    <wps:txbx>
                      <w:txbxContent>
                        <w:p w14:paraId="5B70BB68" w14:textId="0ED268D0" w:rsidR="00C97C9E" w:rsidRPr="00C97C9E" w:rsidRDefault="00C97C9E" w:rsidP="00C97C9E">
                          <w:pPr>
                            <w:spacing w:after="0"/>
                            <w:rPr>
                              <w:rFonts w:ascii="Aptos" w:eastAsia="Aptos" w:hAnsi="Aptos" w:cs="Aptos"/>
                              <w:noProof/>
                              <w:color w:val="000000"/>
                              <w:sz w:val="20"/>
                              <w:szCs w:val="20"/>
                            </w:rPr>
                          </w:pPr>
                          <w:r w:rsidRPr="00C97C9E">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23409B6" id="_x0000_t202" coordsize="21600,21600" o:spt="202" path="m,l,21600r21600,l21600,xe">
              <v:stroke joinstyle="miter"/>
              <v:path gradientshapeok="t" o:connecttype="rect"/>
            </v:shapetype>
            <v:shape id="Text Box 1" o:spid="_x0000_s1028" type="#_x0000_t202" alt="Official Use Only" style="position:absolute;margin-left:40.95pt;margin-top:0;width:92.15pt;height:28.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" filled="f" stroked="f">
              <v:fill o:detectmouseclick="t"/>
              <v:textbox style="mso-fit-shape-to-text:t" inset="0,0,20pt,15pt">
                <w:txbxContent>
                  <w:p w14:paraId="5B70BB68" w14:textId="0ED268D0" w:rsidR="00C97C9E" w:rsidRPr="00C97C9E" w:rsidRDefault="00C97C9E" w:rsidP="00C97C9E">
                    <w:pPr>
                      <w:spacing w:after="0"/>
                      <w:rPr>
                        <w:rFonts w:ascii="Aptos" w:eastAsia="Aptos" w:hAnsi="Aptos" w:cs="Aptos"/>
                        <w:noProof/>
                        <w:color w:val="000000"/>
                        <w:sz w:val="20"/>
                        <w:szCs w:val="20"/>
                      </w:rPr>
                    </w:pPr>
                    <w:r w:rsidRPr="00C97C9E">
                      <w:rPr>
                        <w:rFonts w:ascii="Aptos" w:eastAsia="Aptos" w:hAnsi="Aptos" w:cs="Aptos"/>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BB2D6" w14:textId="77777777" w:rsidR="006728DC" w:rsidRDefault="006728DC" w:rsidP="001205F9">
      <w:pPr>
        <w:spacing w:after="0" w:line="240" w:lineRule="auto"/>
      </w:pPr>
      <w:r>
        <w:separator/>
      </w:r>
    </w:p>
  </w:footnote>
  <w:footnote w:type="continuationSeparator" w:id="0">
    <w:p w14:paraId="1D8E2289" w14:textId="77777777" w:rsidR="006728DC" w:rsidRDefault="006728DC" w:rsidP="001205F9">
      <w:pPr>
        <w:spacing w:after="0" w:line="240" w:lineRule="auto"/>
      </w:pPr>
      <w:r>
        <w:continuationSeparator/>
      </w:r>
    </w:p>
  </w:footnote>
  <w:footnote w:type="continuationNotice" w:id="1">
    <w:p w14:paraId="692CC612" w14:textId="77777777" w:rsidR="006728DC" w:rsidRDefault="006728DC">
      <w:pPr>
        <w:spacing w:after="0" w:line="240" w:lineRule="auto"/>
      </w:pPr>
    </w:p>
  </w:footnote>
  <w:footnote w:id="2">
    <w:p w14:paraId="13CA9BE7" w14:textId="77020B88" w:rsidR="001205F9" w:rsidRPr="007D6783" w:rsidRDefault="001205F9" w:rsidP="007D6783">
      <w:pPr>
        <w:pStyle w:val="FootnoteText"/>
        <w:jc w:val="both"/>
        <w:rPr>
          <w:rFonts w:asciiTheme="majorHAnsi" w:hAnsiTheme="majorHAnsi" w:cstheme="majorHAnsi"/>
        </w:rPr>
      </w:pPr>
      <w:r w:rsidRPr="007D6783">
        <w:rPr>
          <w:rStyle w:val="FootnoteReference"/>
          <w:rFonts w:asciiTheme="majorHAnsi" w:hAnsiTheme="majorHAnsi" w:cstheme="majorHAnsi"/>
        </w:rPr>
        <w:footnoteRef/>
      </w:r>
      <w:r w:rsidRPr="007D6783">
        <w:rPr>
          <w:rFonts w:asciiTheme="majorHAnsi" w:hAnsiTheme="majorHAnsi" w:cstheme="majorHAnsi"/>
        </w:rPr>
        <w:t xml:space="preserve"> </w:t>
      </w:r>
      <w:r w:rsidR="007D6783" w:rsidRPr="007D6783">
        <w:rPr>
          <w:rFonts w:asciiTheme="majorHAnsi" w:hAnsiTheme="majorHAnsi" w:cstheme="majorHAnsi"/>
        </w:rPr>
        <w:t xml:space="preserve">The authors gratefully acknowledge the support of the Umbrella Facility for Gender Equality (UFGE). </w:t>
      </w:r>
      <w:r w:rsidR="00866589">
        <w:rPr>
          <w:rFonts w:asciiTheme="majorHAnsi" w:hAnsiTheme="majorHAnsi" w:cstheme="majorHAnsi"/>
        </w:rPr>
        <w:t xml:space="preserve">The analysis of the legal framework builds on work developed by Natalia Mazoni and Luiza </w:t>
      </w:r>
      <w:r w:rsidR="00CD2461">
        <w:rPr>
          <w:rFonts w:asciiTheme="majorHAnsi" w:hAnsiTheme="majorHAnsi" w:cstheme="majorHAnsi"/>
        </w:rPr>
        <w:t xml:space="preserve">Ferraz, based on data from the World Bank’s Women, Business and the Law. </w:t>
      </w:r>
      <w:r w:rsidR="007D6783" w:rsidRPr="007D6783">
        <w:rPr>
          <w:rFonts w:asciiTheme="majorHAnsi" w:hAnsiTheme="majorHAnsi" w:cstheme="majorHAnsi"/>
        </w:rPr>
        <w:t xml:space="preserve">We extend our sincere thanks to Tanja Goodwin, Ursula Martinez, Hugo Ñopo, Maria Laura Sanchez, Fausto Patino, Diego Ubfal, Karina Olivas, </w:t>
      </w:r>
      <w:r w:rsidR="007D6783">
        <w:rPr>
          <w:rFonts w:asciiTheme="majorHAnsi" w:hAnsiTheme="majorHAnsi" w:cstheme="majorHAnsi"/>
        </w:rPr>
        <w:t>Ana Maria Mu</w:t>
      </w:r>
      <w:r w:rsidR="007D6783" w:rsidRPr="007D6783">
        <w:rPr>
          <w:rFonts w:asciiTheme="majorHAnsi" w:hAnsiTheme="majorHAnsi" w:cstheme="majorHAnsi"/>
        </w:rPr>
        <w:t>ñ</w:t>
      </w:r>
      <w:r w:rsidR="007D6783">
        <w:rPr>
          <w:rFonts w:asciiTheme="majorHAnsi" w:hAnsiTheme="majorHAnsi" w:cstheme="majorHAnsi"/>
        </w:rPr>
        <w:t xml:space="preserve">oz, </w:t>
      </w:r>
      <w:r w:rsidR="007D6783" w:rsidRPr="007D6783">
        <w:rPr>
          <w:rFonts w:asciiTheme="majorHAnsi" w:hAnsiTheme="majorHAnsi" w:cstheme="majorHAnsi"/>
        </w:rPr>
        <w:t>and other colleagues who participated in the technical workshops associated with the World Bank's Peru Gender Flagship Program. Their invaluable insights and feedback significantly contributed to the development of this study.</w:t>
      </w:r>
    </w:p>
  </w:footnote>
  <w:footnote w:id="3">
    <w:p w14:paraId="5A41D7F0" w14:textId="52AA4389" w:rsidR="002129B6" w:rsidRPr="00897E4A" w:rsidRDefault="002129B6">
      <w:pPr>
        <w:pStyle w:val="FootnoteText"/>
        <w:rPr>
          <w:rFonts w:asciiTheme="majorHAnsi" w:hAnsiTheme="majorHAnsi" w:cstheme="majorHAnsi"/>
        </w:rPr>
      </w:pPr>
      <w:r w:rsidRPr="00897E4A">
        <w:rPr>
          <w:rStyle w:val="FootnoteReference"/>
          <w:rFonts w:asciiTheme="majorHAnsi" w:hAnsiTheme="majorHAnsi" w:cstheme="majorHAnsi"/>
        </w:rPr>
        <w:footnoteRef/>
      </w:r>
      <w:r w:rsidRPr="00897E4A">
        <w:rPr>
          <w:rFonts w:asciiTheme="majorHAnsi" w:hAnsiTheme="majorHAnsi" w:cstheme="majorHAnsi"/>
        </w:rPr>
        <w:t xml:space="preserve"> </w:t>
      </w:r>
      <w:r w:rsidR="00897E4A" w:rsidRPr="00897E4A">
        <w:rPr>
          <w:rFonts w:asciiTheme="majorHAnsi" w:hAnsiTheme="majorHAnsi" w:cstheme="majorHAnsi"/>
        </w:rPr>
        <w:t>There is a residual category for other combinations that represents less than 0.01 percent in the sample.</w:t>
      </w:r>
    </w:p>
  </w:footnote>
  <w:footnote w:id="4">
    <w:p w14:paraId="6CF06740" w14:textId="37F7A395" w:rsidR="00D667CF" w:rsidRPr="004060C1" w:rsidRDefault="00D667CF" w:rsidP="00A23DCC">
      <w:pPr>
        <w:pStyle w:val="FootnoteText"/>
        <w:jc w:val="both"/>
        <w:rPr>
          <w:rFonts w:asciiTheme="majorHAnsi" w:hAnsiTheme="majorHAnsi" w:cstheme="majorHAnsi"/>
          <w:sz w:val="18"/>
          <w:szCs w:val="18"/>
        </w:rPr>
      </w:pPr>
      <w:r w:rsidRPr="00DD78A4">
        <w:rPr>
          <w:rStyle w:val="FootnoteReference"/>
          <w:rFonts w:asciiTheme="majorHAnsi" w:hAnsiTheme="majorHAnsi" w:cstheme="majorHAnsi"/>
          <w:sz w:val="18"/>
          <w:szCs w:val="18"/>
        </w:rPr>
        <w:footnoteRef/>
      </w:r>
      <w:r w:rsidRPr="00DD78A4">
        <w:rPr>
          <w:rFonts w:asciiTheme="majorHAnsi" w:hAnsiTheme="majorHAnsi" w:cstheme="majorHAnsi"/>
          <w:sz w:val="18"/>
          <w:szCs w:val="18"/>
        </w:rPr>
        <w:t xml:space="preserve"> According to the </w:t>
      </w:r>
      <w:r w:rsidRPr="00DD78A4">
        <w:rPr>
          <w:rFonts w:asciiTheme="majorHAnsi" w:hAnsiTheme="majorHAnsi" w:cstheme="majorHAnsi"/>
          <w:i/>
          <w:iCs/>
          <w:sz w:val="18"/>
          <w:szCs w:val="18"/>
        </w:rPr>
        <w:t>Encuesta Nacional de Hogares</w:t>
      </w:r>
      <w:r w:rsidRPr="00DD78A4">
        <w:rPr>
          <w:rFonts w:asciiTheme="majorHAnsi" w:hAnsiTheme="majorHAnsi" w:cstheme="majorHAnsi"/>
          <w:sz w:val="18"/>
          <w:szCs w:val="18"/>
        </w:rPr>
        <w:t xml:space="preserve"> 2019, a person is classified as having a disability if she has a permanent limitation to (i) move or walk, (ii) see, even if wearing glasses, (iii) talk or communicate through sign language </w:t>
      </w:r>
      <w:r w:rsidR="00A23DCC">
        <w:rPr>
          <w:rFonts w:asciiTheme="majorHAnsi" w:hAnsiTheme="majorHAnsi" w:cstheme="majorHAnsi"/>
          <w:sz w:val="18"/>
          <w:szCs w:val="18"/>
        </w:rPr>
        <w:t>or</w:t>
      </w:r>
      <w:r w:rsidRPr="00DD78A4">
        <w:rPr>
          <w:rFonts w:asciiTheme="majorHAnsi" w:hAnsiTheme="majorHAnsi" w:cstheme="majorHAnsi"/>
          <w:sz w:val="18"/>
          <w:szCs w:val="18"/>
        </w:rPr>
        <w:t xml:space="preserve"> other means, (iv) </w:t>
      </w:r>
      <w:r>
        <w:rPr>
          <w:rFonts w:asciiTheme="majorHAnsi" w:hAnsiTheme="majorHAnsi" w:cstheme="majorHAnsi"/>
          <w:sz w:val="18"/>
          <w:szCs w:val="18"/>
        </w:rPr>
        <w:t xml:space="preserve"> hear</w:t>
      </w:r>
      <w:r w:rsidRPr="00DD78A4">
        <w:rPr>
          <w:rFonts w:asciiTheme="majorHAnsi" w:hAnsiTheme="majorHAnsi" w:cstheme="majorHAnsi"/>
          <w:sz w:val="18"/>
          <w:szCs w:val="18"/>
        </w:rPr>
        <w:t xml:space="preserve">, even with the use of hearing aids; (v) learn or understand, (vi) </w:t>
      </w:r>
      <w:r>
        <w:rPr>
          <w:rFonts w:asciiTheme="majorHAnsi" w:hAnsiTheme="majorHAnsi" w:cstheme="majorHAnsi"/>
          <w:sz w:val="18"/>
          <w:szCs w:val="18"/>
        </w:rPr>
        <w:t>e</w:t>
      </w:r>
      <w:r w:rsidRPr="00DD78A4">
        <w:rPr>
          <w:rFonts w:asciiTheme="majorHAnsi" w:hAnsiTheme="majorHAnsi" w:cstheme="majorHAnsi"/>
          <w:sz w:val="18"/>
          <w:szCs w:val="18"/>
        </w:rPr>
        <w:t xml:space="preserve">stablish social relationship </w:t>
      </w:r>
      <w:r>
        <w:rPr>
          <w:rFonts w:asciiTheme="majorHAnsi" w:hAnsiTheme="majorHAnsi" w:cstheme="majorHAnsi"/>
          <w:sz w:val="18"/>
          <w:szCs w:val="18"/>
        </w:rPr>
        <w:t xml:space="preserve">through thoughts, feelings, </w:t>
      </w:r>
      <w:r w:rsidRPr="004060C1">
        <w:rPr>
          <w:rFonts w:asciiTheme="majorHAnsi" w:hAnsiTheme="majorHAnsi" w:cstheme="majorHAnsi"/>
          <w:sz w:val="18"/>
          <w:szCs w:val="18"/>
        </w:rPr>
        <w:t>emotions or behaviors.</w:t>
      </w:r>
    </w:p>
  </w:footnote>
  <w:footnote w:id="5">
    <w:p w14:paraId="16828173" w14:textId="77777777" w:rsidR="00DB2912" w:rsidRDefault="00DB2912" w:rsidP="00DB2912">
      <w:pPr>
        <w:pStyle w:val="FootnoteText"/>
      </w:pPr>
      <w:r w:rsidRPr="00E87F58">
        <w:rPr>
          <w:rStyle w:val="FootnoteReference"/>
          <w:rFonts w:asciiTheme="majorHAnsi" w:hAnsiTheme="majorHAnsi" w:cstheme="majorHAnsi"/>
          <w:sz w:val="18"/>
          <w:szCs w:val="18"/>
        </w:rPr>
        <w:footnoteRef/>
      </w:r>
      <w:r w:rsidRPr="00E87F58">
        <w:rPr>
          <w:rFonts w:asciiTheme="majorHAnsi" w:hAnsiTheme="majorHAnsi" w:cstheme="majorHAnsi"/>
          <w:sz w:val="18"/>
          <w:szCs w:val="18"/>
        </w:rPr>
        <w:t xml:space="preserve"> See for instance OECD (2019) for a review of evidence.</w:t>
      </w:r>
    </w:p>
  </w:footnote>
  <w:footnote w:id="6">
    <w:p w14:paraId="580511C7" w14:textId="03D6CE13" w:rsidR="00EE7C05" w:rsidRPr="004F385D" w:rsidRDefault="00EE7C05">
      <w:pPr>
        <w:pStyle w:val="FootnoteText"/>
        <w:rPr>
          <w:rFonts w:asciiTheme="majorHAnsi" w:hAnsiTheme="majorHAnsi" w:cstheme="majorHAnsi"/>
          <w:sz w:val="18"/>
          <w:szCs w:val="18"/>
        </w:rPr>
      </w:pPr>
      <w:r w:rsidRPr="004F385D">
        <w:rPr>
          <w:rStyle w:val="FootnoteReference"/>
          <w:rFonts w:asciiTheme="majorHAnsi" w:hAnsiTheme="majorHAnsi" w:cstheme="majorHAnsi"/>
          <w:sz w:val="18"/>
          <w:szCs w:val="18"/>
        </w:rPr>
        <w:footnoteRef/>
      </w:r>
      <w:r w:rsidRPr="004F385D">
        <w:rPr>
          <w:rFonts w:asciiTheme="majorHAnsi" w:hAnsiTheme="majorHAnsi" w:cstheme="majorHAnsi"/>
          <w:sz w:val="18"/>
          <w:szCs w:val="18"/>
        </w:rPr>
        <w:t xml:space="preserve"> The authors estimate that, controlling for individual and household characteristics, </w:t>
      </w:r>
      <w:r w:rsidR="00836589">
        <w:rPr>
          <w:rFonts w:asciiTheme="majorHAnsi" w:hAnsiTheme="majorHAnsi" w:cstheme="majorHAnsi"/>
          <w:sz w:val="18"/>
          <w:szCs w:val="18"/>
        </w:rPr>
        <w:t>women and men who live with one or more children aged 0-5 are around 4.2 percentage points more likely to live in poverty</w:t>
      </w:r>
      <w:r w:rsidR="001F7B23">
        <w:rPr>
          <w:rFonts w:asciiTheme="majorHAnsi" w:hAnsiTheme="majorHAnsi" w:cstheme="majorHAnsi"/>
          <w:sz w:val="18"/>
          <w:szCs w:val="18"/>
        </w:rPr>
        <w:t xml:space="preserve"> than their counterparts with no young children.</w:t>
      </w:r>
    </w:p>
  </w:footnote>
  <w:footnote w:id="7">
    <w:p w14:paraId="7C154E50" w14:textId="08EA32D2" w:rsidR="00CB2A85" w:rsidRPr="00FF0C95" w:rsidRDefault="00CB2A85">
      <w:pPr>
        <w:pStyle w:val="FootnoteText"/>
        <w:rPr>
          <w:rFonts w:asciiTheme="majorHAnsi" w:hAnsiTheme="majorHAnsi" w:cstheme="majorHAnsi"/>
        </w:rPr>
      </w:pPr>
      <w:r w:rsidRPr="00FF0C95">
        <w:rPr>
          <w:rStyle w:val="FootnoteReference"/>
          <w:rFonts w:asciiTheme="majorHAnsi" w:hAnsiTheme="majorHAnsi" w:cstheme="majorHAnsi"/>
        </w:rPr>
        <w:footnoteRef/>
      </w:r>
      <w:r w:rsidRPr="00FF0C95">
        <w:rPr>
          <w:rFonts w:asciiTheme="majorHAnsi" w:hAnsiTheme="majorHAnsi" w:cstheme="majorHAnsi"/>
        </w:rPr>
        <w:t xml:space="preserve"> </w:t>
      </w:r>
      <w:r w:rsidR="006D7BB9" w:rsidRPr="00FF0C95">
        <w:rPr>
          <w:rFonts w:asciiTheme="majorHAnsi" w:hAnsiTheme="majorHAnsi" w:cstheme="majorHAnsi"/>
        </w:rPr>
        <w:t xml:space="preserve">The definition used by the Peru’s National Statistics Office (INEI) is that </w:t>
      </w:r>
      <w:r w:rsidR="00C85790" w:rsidRPr="00FF0C95">
        <w:rPr>
          <w:rFonts w:asciiTheme="majorHAnsi" w:hAnsiTheme="majorHAnsi" w:cstheme="majorHAnsi"/>
        </w:rPr>
        <w:t xml:space="preserve">a </w:t>
      </w:r>
      <w:r w:rsidR="006D7BB9" w:rsidRPr="00FF0C95">
        <w:rPr>
          <w:rFonts w:asciiTheme="majorHAnsi" w:hAnsiTheme="majorHAnsi" w:cstheme="majorHAnsi"/>
        </w:rPr>
        <w:t>r</w:t>
      </w:r>
      <w:r w:rsidR="005140A5" w:rsidRPr="00FF0C95">
        <w:rPr>
          <w:rFonts w:asciiTheme="majorHAnsi" w:hAnsiTheme="majorHAnsi" w:cstheme="majorHAnsi"/>
        </w:rPr>
        <w:t>ural</w:t>
      </w:r>
      <w:r w:rsidR="00722F82" w:rsidRPr="00FF0C95">
        <w:rPr>
          <w:rFonts w:asciiTheme="majorHAnsi" w:hAnsiTheme="majorHAnsi" w:cstheme="majorHAnsi"/>
        </w:rPr>
        <w:t xml:space="preserve"> </w:t>
      </w:r>
      <w:r w:rsidR="00C85790" w:rsidRPr="00FF0C95">
        <w:rPr>
          <w:rFonts w:asciiTheme="majorHAnsi" w:hAnsiTheme="majorHAnsi" w:cstheme="majorHAnsi"/>
        </w:rPr>
        <w:t xml:space="preserve">area </w:t>
      </w:r>
      <w:r w:rsidR="00D611AA" w:rsidRPr="00FF0C95">
        <w:rPr>
          <w:rFonts w:asciiTheme="majorHAnsi" w:hAnsiTheme="majorHAnsi" w:cstheme="majorHAnsi"/>
        </w:rPr>
        <w:t xml:space="preserve">is one </w:t>
      </w:r>
      <w:r w:rsidR="00C85790" w:rsidRPr="00FF0C95">
        <w:rPr>
          <w:rFonts w:asciiTheme="majorHAnsi" w:hAnsiTheme="majorHAnsi" w:cstheme="majorHAnsi"/>
        </w:rPr>
        <w:t>that do</w:t>
      </w:r>
      <w:r w:rsidR="00D611AA" w:rsidRPr="00FF0C95">
        <w:rPr>
          <w:rFonts w:asciiTheme="majorHAnsi" w:hAnsiTheme="majorHAnsi" w:cstheme="majorHAnsi"/>
        </w:rPr>
        <w:t>es</w:t>
      </w:r>
      <w:r w:rsidR="00C85790" w:rsidRPr="00FF0C95">
        <w:rPr>
          <w:rFonts w:asciiTheme="majorHAnsi" w:hAnsiTheme="majorHAnsi" w:cstheme="majorHAnsi"/>
        </w:rPr>
        <w:t xml:space="preserve"> not have more than 100 contiguous grouped dwellings nor is it the capital of a district; or that, having more than 100 dwellings, these are scattered or dispersed without forming blocks or clusters.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24BE"/>
    <w:multiLevelType w:val="hybridMultilevel"/>
    <w:tmpl w:val="2C2880CA"/>
    <w:lvl w:ilvl="0" w:tplc="451CC82E">
      <w:start w:val="1"/>
      <w:numFmt w:val="lowerRoman"/>
      <w:lvlText w:val="%1."/>
      <w:lvlJc w:val="left"/>
      <w:pPr>
        <w:ind w:left="720" w:hanging="360"/>
      </w:pPr>
      <w:rPr>
        <w:rFonts w:asciiTheme="majorHAnsi" w:eastAsiaTheme="minorHAnsi" w:hAnsiTheme="majorHAnsi" w:cstheme="maj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2FA3BF5"/>
    <w:multiLevelType w:val="hybridMultilevel"/>
    <w:tmpl w:val="D0F4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56D3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523964"/>
    <w:multiLevelType w:val="hybridMultilevel"/>
    <w:tmpl w:val="D9E6CC9C"/>
    <w:lvl w:ilvl="0" w:tplc="04090001">
      <w:start w:val="1"/>
      <w:numFmt w:val="bullet"/>
      <w:lvlText w:val=""/>
      <w:lvlJc w:val="left"/>
      <w:pPr>
        <w:ind w:left="720" w:hanging="360"/>
      </w:pPr>
      <w:rPr>
        <w:rFonts w:ascii="Symbol" w:hAnsi="Symbol" w:hint="default"/>
      </w:rPr>
    </w:lvl>
    <w:lvl w:ilvl="1" w:tplc="2022F886">
      <w:start w:val="5"/>
      <w:numFmt w:val="bullet"/>
      <w:lvlText w:val="-"/>
      <w:lvlJc w:val="left"/>
      <w:pPr>
        <w:ind w:left="1440" w:hanging="360"/>
      </w:pPr>
      <w:rPr>
        <w:rFonts w:ascii="Calibri Light" w:eastAsiaTheme="minorHAnsi" w:hAnsi="Calibri Light" w:cs="Calibri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8515AF4"/>
    <w:multiLevelType w:val="hybridMultilevel"/>
    <w:tmpl w:val="1F5E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540B96"/>
    <w:multiLevelType w:val="hybridMultilevel"/>
    <w:tmpl w:val="5CAE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132344"/>
    <w:multiLevelType w:val="hybridMultilevel"/>
    <w:tmpl w:val="2AE6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8D7841"/>
    <w:multiLevelType w:val="hybridMultilevel"/>
    <w:tmpl w:val="DA545196"/>
    <w:lvl w:ilvl="0" w:tplc="451CC82E">
      <w:start w:val="1"/>
      <w:numFmt w:val="lowerRoman"/>
      <w:lvlText w:val="%1."/>
      <w:lvlJc w:val="left"/>
      <w:pPr>
        <w:ind w:left="720" w:hanging="360"/>
      </w:pPr>
      <w:rPr>
        <w:rFonts w:asciiTheme="majorHAnsi" w:eastAsiaTheme="minorHAnsi" w:hAnsiTheme="majorHAnsi" w:cstheme="maj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2E2EF9"/>
    <w:multiLevelType w:val="hybridMultilevel"/>
    <w:tmpl w:val="A5C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391880">
    <w:abstractNumId w:val="3"/>
  </w:num>
  <w:num w:numId="2" w16cid:durableId="2020964410">
    <w:abstractNumId w:val="2"/>
  </w:num>
  <w:num w:numId="3" w16cid:durableId="885528966">
    <w:abstractNumId w:val="7"/>
  </w:num>
  <w:num w:numId="4" w16cid:durableId="951326561">
    <w:abstractNumId w:val="1"/>
  </w:num>
  <w:num w:numId="5" w16cid:durableId="1290210247">
    <w:abstractNumId w:val="0"/>
  </w:num>
  <w:num w:numId="6" w16cid:durableId="1072119108">
    <w:abstractNumId w:val="4"/>
  </w:num>
  <w:num w:numId="7" w16cid:durableId="767240976">
    <w:abstractNumId w:val="5"/>
  </w:num>
  <w:num w:numId="8" w16cid:durableId="1781027010">
    <w:abstractNumId w:val="8"/>
  </w:num>
  <w:num w:numId="9" w16cid:durableId="170983762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5F9"/>
    <w:rsid w:val="00000C08"/>
    <w:rsid w:val="0000167D"/>
    <w:rsid w:val="00002419"/>
    <w:rsid w:val="000028A8"/>
    <w:rsid w:val="00002961"/>
    <w:rsid w:val="000041B7"/>
    <w:rsid w:val="000041D9"/>
    <w:rsid w:val="00004B51"/>
    <w:rsid w:val="00005105"/>
    <w:rsid w:val="00006687"/>
    <w:rsid w:val="00007218"/>
    <w:rsid w:val="0000766F"/>
    <w:rsid w:val="000077AC"/>
    <w:rsid w:val="00007B7A"/>
    <w:rsid w:val="0001019C"/>
    <w:rsid w:val="0001062F"/>
    <w:rsid w:val="0001208A"/>
    <w:rsid w:val="00013703"/>
    <w:rsid w:val="00013F52"/>
    <w:rsid w:val="00014123"/>
    <w:rsid w:val="000147ED"/>
    <w:rsid w:val="000156C5"/>
    <w:rsid w:val="00015CCD"/>
    <w:rsid w:val="00016179"/>
    <w:rsid w:val="000163E7"/>
    <w:rsid w:val="00016419"/>
    <w:rsid w:val="00016F70"/>
    <w:rsid w:val="00017075"/>
    <w:rsid w:val="00020068"/>
    <w:rsid w:val="00020F6D"/>
    <w:rsid w:val="00021158"/>
    <w:rsid w:val="00021486"/>
    <w:rsid w:val="00022151"/>
    <w:rsid w:val="00022884"/>
    <w:rsid w:val="000230E0"/>
    <w:rsid w:val="00023BEE"/>
    <w:rsid w:val="00023CD9"/>
    <w:rsid w:val="00023DCB"/>
    <w:rsid w:val="00024DD2"/>
    <w:rsid w:val="0002614E"/>
    <w:rsid w:val="000278B3"/>
    <w:rsid w:val="00027E6F"/>
    <w:rsid w:val="00030F9E"/>
    <w:rsid w:val="00031F27"/>
    <w:rsid w:val="0003250D"/>
    <w:rsid w:val="00032ABC"/>
    <w:rsid w:val="00033102"/>
    <w:rsid w:val="00033BE5"/>
    <w:rsid w:val="00033F98"/>
    <w:rsid w:val="00034183"/>
    <w:rsid w:val="00034866"/>
    <w:rsid w:val="00034C4C"/>
    <w:rsid w:val="00035441"/>
    <w:rsid w:val="00035C7B"/>
    <w:rsid w:val="0003627B"/>
    <w:rsid w:val="000362ED"/>
    <w:rsid w:val="0003692D"/>
    <w:rsid w:val="00037D4C"/>
    <w:rsid w:val="00040186"/>
    <w:rsid w:val="00040379"/>
    <w:rsid w:val="000406A2"/>
    <w:rsid w:val="00040B9F"/>
    <w:rsid w:val="00040FB4"/>
    <w:rsid w:val="00041A2E"/>
    <w:rsid w:val="00041A97"/>
    <w:rsid w:val="00041B82"/>
    <w:rsid w:val="0004309F"/>
    <w:rsid w:val="000436B0"/>
    <w:rsid w:val="000448E7"/>
    <w:rsid w:val="00044A3D"/>
    <w:rsid w:val="00044AC4"/>
    <w:rsid w:val="00046D3D"/>
    <w:rsid w:val="000507F3"/>
    <w:rsid w:val="00051C0B"/>
    <w:rsid w:val="0005366F"/>
    <w:rsid w:val="00053E2A"/>
    <w:rsid w:val="00053E88"/>
    <w:rsid w:val="0005411D"/>
    <w:rsid w:val="00054943"/>
    <w:rsid w:val="00054ACC"/>
    <w:rsid w:val="000562C9"/>
    <w:rsid w:val="00056573"/>
    <w:rsid w:val="00056604"/>
    <w:rsid w:val="00056A61"/>
    <w:rsid w:val="0005788F"/>
    <w:rsid w:val="0006001A"/>
    <w:rsid w:val="000608D9"/>
    <w:rsid w:val="00060CFE"/>
    <w:rsid w:val="00062113"/>
    <w:rsid w:val="000621F5"/>
    <w:rsid w:val="000624D2"/>
    <w:rsid w:val="000627B2"/>
    <w:rsid w:val="000629C9"/>
    <w:rsid w:val="0006376F"/>
    <w:rsid w:val="000642C5"/>
    <w:rsid w:val="000661B4"/>
    <w:rsid w:val="00066794"/>
    <w:rsid w:val="00066ECA"/>
    <w:rsid w:val="000702A5"/>
    <w:rsid w:val="000702E1"/>
    <w:rsid w:val="00070AE4"/>
    <w:rsid w:val="00070BFA"/>
    <w:rsid w:val="00070F44"/>
    <w:rsid w:val="000710AE"/>
    <w:rsid w:val="00071304"/>
    <w:rsid w:val="0007166B"/>
    <w:rsid w:val="00072BCC"/>
    <w:rsid w:val="00072D46"/>
    <w:rsid w:val="000738F1"/>
    <w:rsid w:val="00073A32"/>
    <w:rsid w:val="00074128"/>
    <w:rsid w:val="00075FD8"/>
    <w:rsid w:val="00076060"/>
    <w:rsid w:val="000764A2"/>
    <w:rsid w:val="00076FCC"/>
    <w:rsid w:val="00080050"/>
    <w:rsid w:val="000810D6"/>
    <w:rsid w:val="0008124A"/>
    <w:rsid w:val="0008192A"/>
    <w:rsid w:val="00082151"/>
    <w:rsid w:val="00082CCD"/>
    <w:rsid w:val="00082F2A"/>
    <w:rsid w:val="000836E1"/>
    <w:rsid w:val="000837F9"/>
    <w:rsid w:val="00084281"/>
    <w:rsid w:val="00084A03"/>
    <w:rsid w:val="000851D2"/>
    <w:rsid w:val="00085895"/>
    <w:rsid w:val="00086086"/>
    <w:rsid w:val="0008609F"/>
    <w:rsid w:val="00086241"/>
    <w:rsid w:val="00090240"/>
    <w:rsid w:val="000912F3"/>
    <w:rsid w:val="00091439"/>
    <w:rsid w:val="00091C1E"/>
    <w:rsid w:val="00091D59"/>
    <w:rsid w:val="0009301C"/>
    <w:rsid w:val="00093670"/>
    <w:rsid w:val="00093CE9"/>
    <w:rsid w:val="00093D25"/>
    <w:rsid w:val="00095673"/>
    <w:rsid w:val="00096A18"/>
    <w:rsid w:val="00097D99"/>
    <w:rsid w:val="000A0908"/>
    <w:rsid w:val="000A0FF4"/>
    <w:rsid w:val="000A15B6"/>
    <w:rsid w:val="000A1880"/>
    <w:rsid w:val="000A189C"/>
    <w:rsid w:val="000A1ABF"/>
    <w:rsid w:val="000A1C27"/>
    <w:rsid w:val="000A1ED1"/>
    <w:rsid w:val="000A364C"/>
    <w:rsid w:val="000A364F"/>
    <w:rsid w:val="000A4D67"/>
    <w:rsid w:val="000A4E25"/>
    <w:rsid w:val="000A4E26"/>
    <w:rsid w:val="000A4FBA"/>
    <w:rsid w:val="000A58F2"/>
    <w:rsid w:val="000A59F1"/>
    <w:rsid w:val="000A608A"/>
    <w:rsid w:val="000A7BED"/>
    <w:rsid w:val="000B02B7"/>
    <w:rsid w:val="000B0FD2"/>
    <w:rsid w:val="000B197E"/>
    <w:rsid w:val="000B21DD"/>
    <w:rsid w:val="000B2F1E"/>
    <w:rsid w:val="000B375D"/>
    <w:rsid w:val="000B3774"/>
    <w:rsid w:val="000B39B1"/>
    <w:rsid w:val="000B5ED0"/>
    <w:rsid w:val="000B6C34"/>
    <w:rsid w:val="000B715B"/>
    <w:rsid w:val="000B7208"/>
    <w:rsid w:val="000B788A"/>
    <w:rsid w:val="000C0011"/>
    <w:rsid w:val="000C0602"/>
    <w:rsid w:val="000C0D89"/>
    <w:rsid w:val="000C152F"/>
    <w:rsid w:val="000C1BD4"/>
    <w:rsid w:val="000C1EB0"/>
    <w:rsid w:val="000C21AD"/>
    <w:rsid w:val="000C21DB"/>
    <w:rsid w:val="000C4CE4"/>
    <w:rsid w:val="000C535C"/>
    <w:rsid w:val="000C6588"/>
    <w:rsid w:val="000C6C87"/>
    <w:rsid w:val="000C6E9F"/>
    <w:rsid w:val="000C7D4B"/>
    <w:rsid w:val="000D14B2"/>
    <w:rsid w:val="000D1637"/>
    <w:rsid w:val="000D3EA7"/>
    <w:rsid w:val="000D3F01"/>
    <w:rsid w:val="000D4754"/>
    <w:rsid w:val="000D4CD0"/>
    <w:rsid w:val="000D4F69"/>
    <w:rsid w:val="000E019C"/>
    <w:rsid w:val="000E0BAF"/>
    <w:rsid w:val="000E0CCF"/>
    <w:rsid w:val="000E1030"/>
    <w:rsid w:val="000E139F"/>
    <w:rsid w:val="000E160F"/>
    <w:rsid w:val="000E1621"/>
    <w:rsid w:val="000E162A"/>
    <w:rsid w:val="000E30ED"/>
    <w:rsid w:val="000E32B8"/>
    <w:rsid w:val="000E356A"/>
    <w:rsid w:val="000E36FF"/>
    <w:rsid w:val="000E50A8"/>
    <w:rsid w:val="000E55A0"/>
    <w:rsid w:val="000E5783"/>
    <w:rsid w:val="000E5987"/>
    <w:rsid w:val="000E5D3C"/>
    <w:rsid w:val="000E694F"/>
    <w:rsid w:val="000E6CBE"/>
    <w:rsid w:val="000E73CE"/>
    <w:rsid w:val="000E7759"/>
    <w:rsid w:val="000E79C4"/>
    <w:rsid w:val="000E7ABB"/>
    <w:rsid w:val="000E7B7A"/>
    <w:rsid w:val="000F001D"/>
    <w:rsid w:val="000F05A6"/>
    <w:rsid w:val="000F1963"/>
    <w:rsid w:val="000F2116"/>
    <w:rsid w:val="000F2C6F"/>
    <w:rsid w:val="000F326A"/>
    <w:rsid w:val="000F4DD4"/>
    <w:rsid w:val="000F4F97"/>
    <w:rsid w:val="000F5098"/>
    <w:rsid w:val="000F626F"/>
    <w:rsid w:val="000F679C"/>
    <w:rsid w:val="000F6ADB"/>
    <w:rsid w:val="000F75B4"/>
    <w:rsid w:val="000F7D1F"/>
    <w:rsid w:val="00100175"/>
    <w:rsid w:val="001003EF"/>
    <w:rsid w:val="00100DF1"/>
    <w:rsid w:val="00101832"/>
    <w:rsid w:val="00101C16"/>
    <w:rsid w:val="001025A3"/>
    <w:rsid w:val="0010292B"/>
    <w:rsid w:val="001031EC"/>
    <w:rsid w:val="00103327"/>
    <w:rsid w:val="00103B52"/>
    <w:rsid w:val="00103D67"/>
    <w:rsid w:val="001048DB"/>
    <w:rsid w:val="00104B14"/>
    <w:rsid w:val="00104B90"/>
    <w:rsid w:val="00106F4D"/>
    <w:rsid w:val="001071F6"/>
    <w:rsid w:val="0011038D"/>
    <w:rsid w:val="00110B5D"/>
    <w:rsid w:val="00110D33"/>
    <w:rsid w:val="00110FAB"/>
    <w:rsid w:val="0011119B"/>
    <w:rsid w:val="00111FFC"/>
    <w:rsid w:val="00112C1D"/>
    <w:rsid w:val="00112D80"/>
    <w:rsid w:val="00112FD6"/>
    <w:rsid w:val="001134FD"/>
    <w:rsid w:val="00113F4E"/>
    <w:rsid w:val="00114F2B"/>
    <w:rsid w:val="00115676"/>
    <w:rsid w:val="001159D0"/>
    <w:rsid w:val="00115DBB"/>
    <w:rsid w:val="00116DBE"/>
    <w:rsid w:val="001171C9"/>
    <w:rsid w:val="00120066"/>
    <w:rsid w:val="0012008C"/>
    <w:rsid w:val="001200EB"/>
    <w:rsid w:val="001205F9"/>
    <w:rsid w:val="001217DF"/>
    <w:rsid w:val="00121E11"/>
    <w:rsid w:val="0012206D"/>
    <w:rsid w:val="001220A3"/>
    <w:rsid w:val="00122127"/>
    <w:rsid w:val="001230BF"/>
    <w:rsid w:val="00123517"/>
    <w:rsid w:val="00123779"/>
    <w:rsid w:val="001241FB"/>
    <w:rsid w:val="00124341"/>
    <w:rsid w:val="001244C1"/>
    <w:rsid w:val="0012463A"/>
    <w:rsid w:val="0012481E"/>
    <w:rsid w:val="00125341"/>
    <w:rsid w:val="00125DD8"/>
    <w:rsid w:val="0012665F"/>
    <w:rsid w:val="0013073F"/>
    <w:rsid w:val="00130B8D"/>
    <w:rsid w:val="00131A3F"/>
    <w:rsid w:val="00132345"/>
    <w:rsid w:val="0013243C"/>
    <w:rsid w:val="00133954"/>
    <w:rsid w:val="00133A74"/>
    <w:rsid w:val="00135460"/>
    <w:rsid w:val="001365D9"/>
    <w:rsid w:val="00137684"/>
    <w:rsid w:val="001378C7"/>
    <w:rsid w:val="00137D81"/>
    <w:rsid w:val="001401C7"/>
    <w:rsid w:val="0014040B"/>
    <w:rsid w:val="00140651"/>
    <w:rsid w:val="00140A24"/>
    <w:rsid w:val="00140DC1"/>
    <w:rsid w:val="001421DC"/>
    <w:rsid w:val="00142F39"/>
    <w:rsid w:val="00143265"/>
    <w:rsid w:val="00143B13"/>
    <w:rsid w:val="00143F4F"/>
    <w:rsid w:val="00144828"/>
    <w:rsid w:val="001448F3"/>
    <w:rsid w:val="00145A0A"/>
    <w:rsid w:val="00146465"/>
    <w:rsid w:val="001466EC"/>
    <w:rsid w:val="0014717D"/>
    <w:rsid w:val="0014743E"/>
    <w:rsid w:val="00147E22"/>
    <w:rsid w:val="00150FAD"/>
    <w:rsid w:val="001512C8"/>
    <w:rsid w:val="001522EE"/>
    <w:rsid w:val="001531BA"/>
    <w:rsid w:val="0015576A"/>
    <w:rsid w:val="00155991"/>
    <w:rsid w:val="001574D2"/>
    <w:rsid w:val="00157B34"/>
    <w:rsid w:val="001623AD"/>
    <w:rsid w:val="001625B9"/>
    <w:rsid w:val="001625BC"/>
    <w:rsid w:val="001626CB"/>
    <w:rsid w:val="001629AE"/>
    <w:rsid w:val="00162BC0"/>
    <w:rsid w:val="0016374A"/>
    <w:rsid w:val="00163B5B"/>
    <w:rsid w:val="00163FE0"/>
    <w:rsid w:val="001641D5"/>
    <w:rsid w:val="00164DA0"/>
    <w:rsid w:val="00164FD2"/>
    <w:rsid w:val="00165115"/>
    <w:rsid w:val="00165258"/>
    <w:rsid w:val="00165B53"/>
    <w:rsid w:val="00165D9C"/>
    <w:rsid w:val="00165E4E"/>
    <w:rsid w:val="001663D6"/>
    <w:rsid w:val="001669B9"/>
    <w:rsid w:val="00167CDD"/>
    <w:rsid w:val="00170054"/>
    <w:rsid w:val="00170E0D"/>
    <w:rsid w:val="00173222"/>
    <w:rsid w:val="00173695"/>
    <w:rsid w:val="00174114"/>
    <w:rsid w:val="00175B86"/>
    <w:rsid w:val="00175D3C"/>
    <w:rsid w:val="00175F89"/>
    <w:rsid w:val="001779AA"/>
    <w:rsid w:val="00177AC7"/>
    <w:rsid w:val="00177CE2"/>
    <w:rsid w:val="00180082"/>
    <w:rsid w:val="001800D2"/>
    <w:rsid w:val="00180487"/>
    <w:rsid w:val="0018069A"/>
    <w:rsid w:val="00180829"/>
    <w:rsid w:val="001809B9"/>
    <w:rsid w:val="00180B03"/>
    <w:rsid w:val="001815AE"/>
    <w:rsid w:val="0018193B"/>
    <w:rsid w:val="00182274"/>
    <w:rsid w:val="0018276A"/>
    <w:rsid w:val="00182F35"/>
    <w:rsid w:val="00182FCC"/>
    <w:rsid w:val="001835F1"/>
    <w:rsid w:val="001836DC"/>
    <w:rsid w:val="00183F5C"/>
    <w:rsid w:val="0018472F"/>
    <w:rsid w:val="00186349"/>
    <w:rsid w:val="00186D85"/>
    <w:rsid w:val="00186F09"/>
    <w:rsid w:val="001878A7"/>
    <w:rsid w:val="0019009A"/>
    <w:rsid w:val="00190434"/>
    <w:rsid w:val="0019070F"/>
    <w:rsid w:val="0019112A"/>
    <w:rsid w:val="00191492"/>
    <w:rsid w:val="001918F4"/>
    <w:rsid w:val="00192E91"/>
    <w:rsid w:val="001935EE"/>
    <w:rsid w:val="00194866"/>
    <w:rsid w:val="00194E8C"/>
    <w:rsid w:val="0019623A"/>
    <w:rsid w:val="00196275"/>
    <w:rsid w:val="001964B9"/>
    <w:rsid w:val="00196A1A"/>
    <w:rsid w:val="001A0184"/>
    <w:rsid w:val="001A04E1"/>
    <w:rsid w:val="001A0610"/>
    <w:rsid w:val="001A062E"/>
    <w:rsid w:val="001A0C37"/>
    <w:rsid w:val="001A0CAF"/>
    <w:rsid w:val="001A15D2"/>
    <w:rsid w:val="001A2059"/>
    <w:rsid w:val="001A225B"/>
    <w:rsid w:val="001A2482"/>
    <w:rsid w:val="001A2E17"/>
    <w:rsid w:val="001A2F30"/>
    <w:rsid w:val="001A3465"/>
    <w:rsid w:val="001A3620"/>
    <w:rsid w:val="001A37AF"/>
    <w:rsid w:val="001A490C"/>
    <w:rsid w:val="001A53E1"/>
    <w:rsid w:val="001A5B5C"/>
    <w:rsid w:val="001A7756"/>
    <w:rsid w:val="001A7A98"/>
    <w:rsid w:val="001B0A20"/>
    <w:rsid w:val="001B1020"/>
    <w:rsid w:val="001B18C8"/>
    <w:rsid w:val="001B1B3B"/>
    <w:rsid w:val="001B2298"/>
    <w:rsid w:val="001B2B27"/>
    <w:rsid w:val="001B2D52"/>
    <w:rsid w:val="001B5B8B"/>
    <w:rsid w:val="001B615A"/>
    <w:rsid w:val="001B63C7"/>
    <w:rsid w:val="001B6739"/>
    <w:rsid w:val="001B6EE7"/>
    <w:rsid w:val="001B777E"/>
    <w:rsid w:val="001C068A"/>
    <w:rsid w:val="001C2279"/>
    <w:rsid w:val="001C254E"/>
    <w:rsid w:val="001C2B12"/>
    <w:rsid w:val="001C3E1B"/>
    <w:rsid w:val="001C4788"/>
    <w:rsid w:val="001C48BA"/>
    <w:rsid w:val="001C4DA5"/>
    <w:rsid w:val="001C4FEE"/>
    <w:rsid w:val="001C5A56"/>
    <w:rsid w:val="001C5C30"/>
    <w:rsid w:val="001C5E31"/>
    <w:rsid w:val="001C6C86"/>
    <w:rsid w:val="001C739F"/>
    <w:rsid w:val="001C7CA4"/>
    <w:rsid w:val="001D0B57"/>
    <w:rsid w:val="001D21D8"/>
    <w:rsid w:val="001D31F5"/>
    <w:rsid w:val="001D3965"/>
    <w:rsid w:val="001D3C08"/>
    <w:rsid w:val="001D45B3"/>
    <w:rsid w:val="001D4D89"/>
    <w:rsid w:val="001D5061"/>
    <w:rsid w:val="001D6937"/>
    <w:rsid w:val="001D7FDB"/>
    <w:rsid w:val="001E15AB"/>
    <w:rsid w:val="001E1F94"/>
    <w:rsid w:val="001E2A42"/>
    <w:rsid w:val="001E2C22"/>
    <w:rsid w:val="001E2F45"/>
    <w:rsid w:val="001E2F8E"/>
    <w:rsid w:val="001E5086"/>
    <w:rsid w:val="001E5C4E"/>
    <w:rsid w:val="001E67E0"/>
    <w:rsid w:val="001E7863"/>
    <w:rsid w:val="001F027C"/>
    <w:rsid w:val="001F1036"/>
    <w:rsid w:val="001F1CAC"/>
    <w:rsid w:val="001F2587"/>
    <w:rsid w:val="001F31CD"/>
    <w:rsid w:val="001F3AAB"/>
    <w:rsid w:val="001F456E"/>
    <w:rsid w:val="001F5829"/>
    <w:rsid w:val="001F5BE1"/>
    <w:rsid w:val="001F6666"/>
    <w:rsid w:val="001F6B2A"/>
    <w:rsid w:val="001F6FC0"/>
    <w:rsid w:val="001F78AA"/>
    <w:rsid w:val="001F7B23"/>
    <w:rsid w:val="001F7D68"/>
    <w:rsid w:val="002000AD"/>
    <w:rsid w:val="00200299"/>
    <w:rsid w:val="00200ADF"/>
    <w:rsid w:val="00200B22"/>
    <w:rsid w:val="00202149"/>
    <w:rsid w:val="00202A67"/>
    <w:rsid w:val="00202D74"/>
    <w:rsid w:val="00202FCF"/>
    <w:rsid w:val="0020322D"/>
    <w:rsid w:val="00205825"/>
    <w:rsid w:val="00205EB8"/>
    <w:rsid w:val="00206FC2"/>
    <w:rsid w:val="002107E7"/>
    <w:rsid w:val="00210A33"/>
    <w:rsid w:val="002120A9"/>
    <w:rsid w:val="00212687"/>
    <w:rsid w:val="002129B6"/>
    <w:rsid w:val="00212B93"/>
    <w:rsid w:val="00215C44"/>
    <w:rsid w:val="00215CBD"/>
    <w:rsid w:val="00215D2B"/>
    <w:rsid w:val="00216192"/>
    <w:rsid w:val="00216403"/>
    <w:rsid w:val="002164E5"/>
    <w:rsid w:val="002173BE"/>
    <w:rsid w:val="0022072F"/>
    <w:rsid w:val="002218B0"/>
    <w:rsid w:val="002228CA"/>
    <w:rsid w:val="00222B75"/>
    <w:rsid w:val="00223344"/>
    <w:rsid w:val="00223378"/>
    <w:rsid w:val="00223583"/>
    <w:rsid w:val="00223986"/>
    <w:rsid w:val="00223B84"/>
    <w:rsid w:val="00223F65"/>
    <w:rsid w:val="002251F1"/>
    <w:rsid w:val="00225C01"/>
    <w:rsid w:val="00225FB7"/>
    <w:rsid w:val="002260E2"/>
    <w:rsid w:val="0022684B"/>
    <w:rsid w:val="00226854"/>
    <w:rsid w:val="00231168"/>
    <w:rsid w:val="00231662"/>
    <w:rsid w:val="0023173B"/>
    <w:rsid w:val="002323B0"/>
    <w:rsid w:val="002328CF"/>
    <w:rsid w:val="00232CD0"/>
    <w:rsid w:val="00233764"/>
    <w:rsid w:val="002339B3"/>
    <w:rsid w:val="002357CF"/>
    <w:rsid w:val="002364C9"/>
    <w:rsid w:val="00236B1C"/>
    <w:rsid w:val="0023798E"/>
    <w:rsid w:val="00237AA2"/>
    <w:rsid w:val="00241D10"/>
    <w:rsid w:val="00242FA3"/>
    <w:rsid w:val="00243508"/>
    <w:rsid w:val="00243DAB"/>
    <w:rsid w:val="00243E2E"/>
    <w:rsid w:val="00243EE5"/>
    <w:rsid w:val="00244C9F"/>
    <w:rsid w:val="00244F17"/>
    <w:rsid w:val="002453B7"/>
    <w:rsid w:val="002460E0"/>
    <w:rsid w:val="00246F78"/>
    <w:rsid w:val="00246F9B"/>
    <w:rsid w:val="002508ED"/>
    <w:rsid w:val="00250BA4"/>
    <w:rsid w:val="00251156"/>
    <w:rsid w:val="002515E0"/>
    <w:rsid w:val="0025195D"/>
    <w:rsid w:val="002526E4"/>
    <w:rsid w:val="002542F8"/>
    <w:rsid w:val="00254779"/>
    <w:rsid w:val="00254A26"/>
    <w:rsid w:val="002556BE"/>
    <w:rsid w:val="00255846"/>
    <w:rsid w:val="00255973"/>
    <w:rsid w:val="00255FEF"/>
    <w:rsid w:val="002568DD"/>
    <w:rsid w:val="00257408"/>
    <w:rsid w:val="00260E42"/>
    <w:rsid w:val="00260EAC"/>
    <w:rsid w:val="00261158"/>
    <w:rsid w:val="002611A4"/>
    <w:rsid w:val="00261323"/>
    <w:rsid w:val="00261735"/>
    <w:rsid w:val="00261E7C"/>
    <w:rsid w:val="00261F72"/>
    <w:rsid w:val="00262079"/>
    <w:rsid w:val="00262685"/>
    <w:rsid w:val="002627D6"/>
    <w:rsid w:val="00262BE3"/>
    <w:rsid w:val="00263201"/>
    <w:rsid w:val="00263EBD"/>
    <w:rsid w:val="002640B1"/>
    <w:rsid w:val="002648C5"/>
    <w:rsid w:val="00264A8F"/>
    <w:rsid w:val="00264D47"/>
    <w:rsid w:val="002650F2"/>
    <w:rsid w:val="002664E2"/>
    <w:rsid w:val="002666FE"/>
    <w:rsid w:val="00267DBF"/>
    <w:rsid w:val="002704A4"/>
    <w:rsid w:val="00270500"/>
    <w:rsid w:val="00270B9E"/>
    <w:rsid w:val="00272113"/>
    <w:rsid w:val="00272C48"/>
    <w:rsid w:val="00274134"/>
    <w:rsid w:val="00274ECA"/>
    <w:rsid w:val="002755FE"/>
    <w:rsid w:val="002813EE"/>
    <w:rsid w:val="00281863"/>
    <w:rsid w:val="00281A27"/>
    <w:rsid w:val="00281FB5"/>
    <w:rsid w:val="00282049"/>
    <w:rsid w:val="002826B1"/>
    <w:rsid w:val="002834FD"/>
    <w:rsid w:val="0028398D"/>
    <w:rsid w:val="00286721"/>
    <w:rsid w:val="00286D37"/>
    <w:rsid w:val="00287290"/>
    <w:rsid w:val="00287C43"/>
    <w:rsid w:val="002901CC"/>
    <w:rsid w:val="002905D6"/>
    <w:rsid w:val="00290947"/>
    <w:rsid w:val="00290D56"/>
    <w:rsid w:val="00291471"/>
    <w:rsid w:val="002919E1"/>
    <w:rsid w:val="0029204F"/>
    <w:rsid w:val="002922E3"/>
    <w:rsid w:val="0029293A"/>
    <w:rsid w:val="00292FD7"/>
    <w:rsid w:val="00294121"/>
    <w:rsid w:val="00295C50"/>
    <w:rsid w:val="00296223"/>
    <w:rsid w:val="00296520"/>
    <w:rsid w:val="002979F0"/>
    <w:rsid w:val="002A08F0"/>
    <w:rsid w:val="002A0FDD"/>
    <w:rsid w:val="002A1160"/>
    <w:rsid w:val="002A24DD"/>
    <w:rsid w:val="002A3098"/>
    <w:rsid w:val="002A3C05"/>
    <w:rsid w:val="002A61FC"/>
    <w:rsid w:val="002A6C8E"/>
    <w:rsid w:val="002B001B"/>
    <w:rsid w:val="002B0800"/>
    <w:rsid w:val="002B197D"/>
    <w:rsid w:val="002B3799"/>
    <w:rsid w:val="002B3BEF"/>
    <w:rsid w:val="002B3E9C"/>
    <w:rsid w:val="002B419A"/>
    <w:rsid w:val="002B6677"/>
    <w:rsid w:val="002B6C1E"/>
    <w:rsid w:val="002B7081"/>
    <w:rsid w:val="002B7247"/>
    <w:rsid w:val="002B78B7"/>
    <w:rsid w:val="002B7B3E"/>
    <w:rsid w:val="002B7D4B"/>
    <w:rsid w:val="002B7D78"/>
    <w:rsid w:val="002C0795"/>
    <w:rsid w:val="002C0910"/>
    <w:rsid w:val="002C0A7B"/>
    <w:rsid w:val="002C0AE1"/>
    <w:rsid w:val="002C108B"/>
    <w:rsid w:val="002C349A"/>
    <w:rsid w:val="002C495B"/>
    <w:rsid w:val="002C615C"/>
    <w:rsid w:val="002C6243"/>
    <w:rsid w:val="002C777F"/>
    <w:rsid w:val="002C77D1"/>
    <w:rsid w:val="002D1685"/>
    <w:rsid w:val="002D2250"/>
    <w:rsid w:val="002D31AA"/>
    <w:rsid w:val="002D3817"/>
    <w:rsid w:val="002D3D23"/>
    <w:rsid w:val="002D3D97"/>
    <w:rsid w:val="002D4084"/>
    <w:rsid w:val="002D5174"/>
    <w:rsid w:val="002D6CC4"/>
    <w:rsid w:val="002D6CEB"/>
    <w:rsid w:val="002D7099"/>
    <w:rsid w:val="002D70E5"/>
    <w:rsid w:val="002D7C21"/>
    <w:rsid w:val="002E0801"/>
    <w:rsid w:val="002E14F0"/>
    <w:rsid w:val="002E2CF5"/>
    <w:rsid w:val="002E2FF9"/>
    <w:rsid w:val="002E3374"/>
    <w:rsid w:val="002E5040"/>
    <w:rsid w:val="002E54FE"/>
    <w:rsid w:val="002E5F9A"/>
    <w:rsid w:val="002E66C4"/>
    <w:rsid w:val="002E787E"/>
    <w:rsid w:val="002E7BBB"/>
    <w:rsid w:val="002F0373"/>
    <w:rsid w:val="002F052D"/>
    <w:rsid w:val="002F326D"/>
    <w:rsid w:val="002F570A"/>
    <w:rsid w:val="002F596B"/>
    <w:rsid w:val="002F60C5"/>
    <w:rsid w:val="002F63D8"/>
    <w:rsid w:val="002F65DD"/>
    <w:rsid w:val="002F6757"/>
    <w:rsid w:val="002F707C"/>
    <w:rsid w:val="002F738C"/>
    <w:rsid w:val="0030189C"/>
    <w:rsid w:val="00301DEF"/>
    <w:rsid w:val="003029DB"/>
    <w:rsid w:val="00302B37"/>
    <w:rsid w:val="0030363A"/>
    <w:rsid w:val="003036FE"/>
    <w:rsid w:val="00303B21"/>
    <w:rsid w:val="00303C63"/>
    <w:rsid w:val="00306084"/>
    <w:rsid w:val="003060B3"/>
    <w:rsid w:val="00306C23"/>
    <w:rsid w:val="0030702E"/>
    <w:rsid w:val="00307192"/>
    <w:rsid w:val="0030741D"/>
    <w:rsid w:val="003076BE"/>
    <w:rsid w:val="00307878"/>
    <w:rsid w:val="00307BD8"/>
    <w:rsid w:val="0031129A"/>
    <w:rsid w:val="00311D82"/>
    <w:rsid w:val="00311FFE"/>
    <w:rsid w:val="003121B8"/>
    <w:rsid w:val="003122EA"/>
    <w:rsid w:val="003123D1"/>
    <w:rsid w:val="003137CD"/>
    <w:rsid w:val="00313F7C"/>
    <w:rsid w:val="0031401D"/>
    <w:rsid w:val="003158D1"/>
    <w:rsid w:val="003160F7"/>
    <w:rsid w:val="00316ADE"/>
    <w:rsid w:val="00316E1C"/>
    <w:rsid w:val="00321169"/>
    <w:rsid w:val="00321261"/>
    <w:rsid w:val="00321E90"/>
    <w:rsid w:val="0032230A"/>
    <w:rsid w:val="00323231"/>
    <w:rsid w:val="0032463A"/>
    <w:rsid w:val="00324E64"/>
    <w:rsid w:val="00325038"/>
    <w:rsid w:val="00325449"/>
    <w:rsid w:val="0032581E"/>
    <w:rsid w:val="0032676F"/>
    <w:rsid w:val="003276E2"/>
    <w:rsid w:val="003300C2"/>
    <w:rsid w:val="00330112"/>
    <w:rsid w:val="00330B8F"/>
    <w:rsid w:val="00331CBB"/>
    <w:rsid w:val="00332283"/>
    <w:rsid w:val="00332A14"/>
    <w:rsid w:val="00332B21"/>
    <w:rsid w:val="00333166"/>
    <w:rsid w:val="00334260"/>
    <w:rsid w:val="003343DD"/>
    <w:rsid w:val="0033477A"/>
    <w:rsid w:val="003350DE"/>
    <w:rsid w:val="003360F5"/>
    <w:rsid w:val="00336108"/>
    <w:rsid w:val="00336C63"/>
    <w:rsid w:val="00336D8A"/>
    <w:rsid w:val="00337720"/>
    <w:rsid w:val="00337A1A"/>
    <w:rsid w:val="00337B83"/>
    <w:rsid w:val="00340C52"/>
    <w:rsid w:val="003410F8"/>
    <w:rsid w:val="003414BD"/>
    <w:rsid w:val="00341ABD"/>
    <w:rsid w:val="003429E6"/>
    <w:rsid w:val="003448AE"/>
    <w:rsid w:val="00344BFD"/>
    <w:rsid w:val="00344C20"/>
    <w:rsid w:val="0034520C"/>
    <w:rsid w:val="003454D1"/>
    <w:rsid w:val="003454FE"/>
    <w:rsid w:val="0034694E"/>
    <w:rsid w:val="003501A5"/>
    <w:rsid w:val="00352560"/>
    <w:rsid w:val="00352888"/>
    <w:rsid w:val="00354B91"/>
    <w:rsid w:val="0035500E"/>
    <w:rsid w:val="0035551A"/>
    <w:rsid w:val="003578E8"/>
    <w:rsid w:val="00360750"/>
    <w:rsid w:val="0036088C"/>
    <w:rsid w:val="00361D9D"/>
    <w:rsid w:val="0036200F"/>
    <w:rsid w:val="003630BB"/>
    <w:rsid w:val="003633A3"/>
    <w:rsid w:val="00364FB6"/>
    <w:rsid w:val="0036595A"/>
    <w:rsid w:val="00365F91"/>
    <w:rsid w:val="00366C76"/>
    <w:rsid w:val="00367277"/>
    <w:rsid w:val="00367927"/>
    <w:rsid w:val="00367E6A"/>
    <w:rsid w:val="003704E3"/>
    <w:rsid w:val="00371175"/>
    <w:rsid w:val="00371A4E"/>
    <w:rsid w:val="00371A89"/>
    <w:rsid w:val="00371FC7"/>
    <w:rsid w:val="0037270D"/>
    <w:rsid w:val="0037296C"/>
    <w:rsid w:val="003744B9"/>
    <w:rsid w:val="003754CB"/>
    <w:rsid w:val="00375582"/>
    <w:rsid w:val="00381669"/>
    <w:rsid w:val="00381ABA"/>
    <w:rsid w:val="00382E3A"/>
    <w:rsid w:val="0038462E"/>
    <w:rsid w:val="00384B99"/>
    <w:rsid w:val="00384D3D"/>
    <w:rsid w:val="00385325"/>
    <w:rsid w:val="003855DD"/>
    <w:rsid w:val="00385BA7"/>
    <w:rsid w:val="00386870"/>
    <w:rsid w:val="00386A49"/>
    <w:rsid w:val="00386D16"/>
    <w:rsid w:val="00386D93"/>
    <w:rsid w:val="00386FC0"/>
    <w:rsid w:val="00387518"/>
    <w:rsid w:val="0038766F"/>
    <w:rsid w:val="00390400"/>
    <w:rsid w:val="00390892"/>
    <w:rsid w:val="003909B7"/>
    <w:rsid w:val="00392524"/>
    <w:rsid w:val="00392BFD"/>
    <w:rsid w:val="003966C7"/>
    <w:rsid w:val="00396F26"/>
    <w:rsid w:val="00397763"/>
    <w:rsid w:val="00397C8A"/>
    <w:rsid w:val="003A0B87"/>
    <w:rsid w:val="003A0D29"/>
    <w:rsid w:val="003A182D"/>
    <w:rsid w:val="003A1D3F"/>
    <w:rsid w:val="003A1E50"/>
    <w:rsid w:val="003A31EE"/>
    <w:rsid w:val="003A36E3"/>
    <w:rsid w:val="003A3785"/>
    <w:rsid w:val="003A3A85"/>
    <w:rsid w:val="003A49B6"/>
    <w:rsid w:val="003A4F3A"/>
    <w:rsid w:val="003A4FEB"/>
    <w:rsid w:val="003A59AD"/>
    <w:rsid w:val="003A5CD2"/>
    <w:rsid w:val="003A606C"/>
    <w:rsid w:val="003A6547"/>
    <w:rsid w:val="003A65D5"/>
    <w:rsid w:val="003A6C7D"/>
    <w:rsid w:val="003B05F7"/>
    <w:rsid w:val="003B30A1"/>
    <w:rsid w:val="003B3A4C"/>
    <w:rsid w:val="003B3D32"/>
    <w:rsid w:val="003B44E4"/>
    <w:rsid w:val="003B4946"/>
    <w:rsid w:val="003B557C"/>
    <w:rsid w:val="003B62C0"/>
    <w:rsid w:val="003B7181"/>
    <w:rsid w:val="003C014C"/>
    <w:rsid w:val="003C0872"/>
    <w:rsid w:val="003C0A17"/>
    <w:rsid w:val="003C0B0D"/>
    <w:rsid w:val="003C1316"/>
    <w:rsid w:val="003C1F5B"/>
    <w:rsid w:val="003C1FE5"/>
    <w:rsid w:val="003C27AC"/>
    <w:rsid w:val="003C36CA"/>
    <w:rsid w:val="003C47AD"/>
    <w:rsid w:val="003C480B"/>
    <w:rsid w:val="003C4813"/>
    <w:rsid w:val="003C5F3D"/>
    <w:rsid w:val="003C5F61"/>
    <w:rsid w:val="003C6006"/>
    <w:rsid w:val="003C64DD"/>
    <w:rsid w:val="003C73E1"/>
    <w:rsid w:val="003D10FA"/>
    <w:rsid w:val="003D1B7C"/>
    <w:rsid w:val="003D1EFB"/>
    <w:rsid w:val="003D25A9"/>
    <w:rsid w:val="003D2716"/>
    <w:rsid w:val="003D294B"/>
    <w:rsid w:val="003D29B7"/>
    <w:rsid w:val="003D2C58"/>
    <w:rsid w:val="003D3DF0"/>
    <w:rsid w:val="003D434B"/>
    <w:rsid w:val="003D4A8E"/>
    <w:rsid w:val="003D53FB"/>
    <w:rsid w:val="003D61E0"/>
    <w:rsid w:val="003D6AC7"/>
    <w:rsid w:val="003D71BC"/>
    <w:rsid w:val="003D72A0"/>
    <w:rsid w:val="003D7E16"/>
    <w:rsid w:val="003E0105"/>
    <w:rsid w:val="003E0638"/>
    <w:rsid w:val="003E0994"/>
    <w:rsid w:val="003E11EE"/>
    <w:rsid w:val="003E15DE"/>
    <w:rsid w:val="003E162A"/>
    <w:rsid w:val="003E18C6"/>
    <w:rsid w:val="003E2EB6"/>
    <w:rsid w:val="003E3357"/>
    <w:rsid w:val="003E41F2"/>
    <w:rsid w:val="003E48D6"/>
    <w:rsid w:val="003E5170"/>
    <w:rsid w:val="003E60CF"/>
    <w:rsid w:val="003E6696"/>
    <w:rsid w:val="003E6DC5"/>
    <w:rsid w:val="003E6F41"/>
    <w:rsid w:val="003E7D69"/>
    <w:rsid w:val="003E7F7F"/>
    <w:rsid w:val="003F0502"/>
    <w:rsid w:val="003F076D"/>
    <w:rsid w:val="003F1D0B"/>
    <w:rsid w:val="003F264E"/>
    <w:rsid w:val="003F2BEB"/>
    <w:rsid w:val="003F4DAF"/>
    <w:rsid w:val="003F4FC7"/>
    <w:rsid w:val="003F552C"/>
    <w:rsid w:val="003F653C"/>
    <w:rsid w:val="003F6D23"/>
    <w:rsid w:val="003F6F0D"/>
    <w:rsid w:val="003F70B9"/>
    <w:rsid w:val="003F727F"/>
    <w:rsid w:val="003F7281"/>
    <w:rsid w:val="0040087F"/>
    <w:rsid w:val="00401020"/>
    <w:rsid w:val="0040102F"/>
    <w:rsid w:val="00401069"/>
    <w:rsid w:val="004026B3"/>
    <w:rsid w:val="004036BE"/>
    <w:rsid w:val="00403B75"/>
    <w:rsid w:val="00403CE1"/>
    <w:rsid w:val="00404251"/>
    <w:rsid w:val="00405D56"/>
    <w:rsid w:val="004060C1"/>
    <w:rsid w:val="00407BC8"/>
    <w:rsid w:val="00407E5A"/>
    <w:rsid w:val="00410469"/>
    <w:rsid w:val="004113E4"/>
    <w:rsid w:val="00411450"/>
    <w:rsid w:val="004117F7"/>
    <w:rsid w:val="00413F37"/>
    <w:rsid w:val="00414630"/>
    <w:rsid w:val="004147BD"/>
    <w:rsid w:val="0041482A"/>
    <w:rsid w:val="004150C0"/>
    <w:rsid w:val="004163C5"/>
    <w:rsid w:val="004163CD"/>
    <w:rsid w:val="00417875"/>
    <w:rsid w:val="00420121"/>
    <w:rsid w:val="0042039B"/>
    <w:rsid w:val="004203B0"/>
    <w:rsid w:val="00420717"/>
    <w:rsid w:val="004208A5"/>
    <w:rsid w:val="004214CE"/>
    <w:rsid w:val="00423230"/>
    <w:rsid w:val="00424005"/>
    <w:rsid w:val="00424692"/>
    <w:rsid w:val="00424DE1"/>
    <w:rsid w:val="00425792"/>
    <w:rsid w:val="0042625A"/>
    <w:rsid w:val="00426272"/>
    <w:rsid w:val="004267AB"/>
    <w:rsid w:val="0042703F"/>
    <w:rsid w:val="004270E5"/>
    <w:rsid w:val="00427577"/>
    <w:rsid w:val="00427779"/>
    <w:rsid w:val="0043027C"/>
    <w:rsid w:val="004302F3"/>
    <w:rsid w:val="004305F3"/>
    <w:rsid w:val="00430655"/>
    <w:rsid w:val="00430669"/>
    <w:rsid w:val="004312BB"/>
    <w:rsid w:val="004329E6"/>
    <w:rsid w:val="004336B6"/>
    <w:rsid w:val="00435F54"/>
    <w:rsid w:val="00436E7B"/>
    <w:rsid w:val="004374F9"/>
    <w:rsid w:val="00437D5E"/>
    <w:rsid w:val="00437DAB"/>
    <w:rsid w:val="0044064F"/>
    <w:rsid w:val="00442A20"/>
    <w:rsid w:val="00442FC4"/>
    <w:rsid w:val="00443549"/>
    <w:rsid w:val="004435D4"/>
    <w:rsid w:val="00443E0F"/>
    <w:rsid w:val="004441D8"/>
    <w:rsid w:val="004444D2"/>
    <w:rsid w:val="00444552"/>
    <w:rsid w:val="004449B7"/>
    <w:rsid w:val="00444E71"/>
    <w:rsid w:val="00445AC4"/>
    <w:rsid w:val="00445AC6"/>
    <w:rsid w:val="00445CCB"/>
    <w:rsid w:val="0044678C"/>
    <w:rsid w:val="0044700A"/>
    <w:rsid w:val="00450024"/>
    <w:rsid w:val="0045059C"/>
    <w:rsid w:val="00450CDA"/>
    <w:rsid w:val="00451913"/>
    <w:rsid w:val="00451E97"/>
    <w:rsid w:val="00453969"/>
    <w:rsid w:val="0045422B"/>
    <w:rsid w:val="004554FC"/>
    <w:rsid w:val="004558C2"/>
    <w:rsid w:val="00455ADD"/>
    <w:rsid w:val="00456772"/>
    <w:rsid w:val="00457AB3"/>
    <w:rsid w:val="00457DF1"/>
    <w:rsid w:val="004600AD"/>
    <w:rsid w:val="0046170E"/>
    <w:rsid w:val="00461D4A"/>
    <w:rsid w:val="004622C8"/>
    <w:rsid w:val="004623D3"/>
    <w:rsid w:val="004635F6"/>
    <w:rsid w:val="004636E8"/>
    <w:rsid w:val="00464623"/>
    <w:rsid w:val="00464870"/>
    <w:rsid w:val="00465371"/>
    <w:rsid w:val="0046569B"/>
    <w:rsid w:val="00467E44"/>
    <w:rsid w:val="004713B6"/>
    <w:rsid w:val="00471C20"/>
    <w:rsid w:val="00471F15"/>
    <w:rsid w:val="00472D54"/>
    <w:rsid w:val="00472EAE"/>
    <w:rsid w:val="00474A43"/>
    <w:rsid w:val="004754A4"/>
    <w:rsid w:val="00475B0D"/>
    <w:rsid w:val="00475EF1"/>
    <w:rsid w:val="00476E74"/>
    <w:rsid w:val="004826FD"/>
    <w:rsid w:val="00483356"/>
    <w:rsid w:val="00483DF5"/>
    <w:rsid w:val="00484CA2"/>
    <w:rsid w:val="0048514B"/>
    <w:rsid w:val="004858FB"/>
    <w:rsid w:val="0048725C"/>
    <w:rsid w:val="00490153"/>
    <w:rsid w:val="00490867"/>
    <w:rsid w:val="004932E0"/>
    <w:rsid w:val="0049392B"/>
    <w:rsid w:val="004940C2"/>
    <w:rsid w:val="0049427B"/>
    <w:rsid w:val="0049562D"/>
    <w:rsid w:val="00495C8F"/>
    <w:rsid w:val="00495DE2"/>
    <w:rsid w:val="00495FBC"/>
    <w:rsid w:val="00496873"/>
    <w:rsid w:val="00497C73"/>
    <w:rsid w:val="00497CAF"/>
    <w:rsid w:val="00497D2D"/>
    <w:rsid w:val="004A0DFE"/>
    <w:rsid w:val="004A0F25"/>
    <w:rsid w:val="004A161C"/>
    <w:rsid w:val="004A19AE"/>
    <w:rsid w:val="004A1F95"/>
    <w:rsid w:val="004A3B06"/>
    <w:rsid w:val="004A3E32"/>
    <w:rsid w:val="004A42F9"/>
    <w:rsid w:val="004A4376"/>
    <w:rsid w:val="004A5A69"/>
    <w:rsid w:val="004A5B20"/>
    <w:rsid w:val="004A779B"/>
    <w:rsid w:val="004B160C"/>
    <w:rsid w:val="004B20EE"/>
    <w:rsid w:val="004B2C3E"/>
    <w:rsid w:val="004B37CE"/>
    <w:rsid w:val="004B5334"/>
    <w:rsid w:val="004B538B"/>
    <w:rsid w:val="004B57AA"/>
    <w:rsid w:val="004B5F21"/>
    <w:rsid w:val="004B64BF"/>
    <w:rsid w:val="004B680B"/>
    <w:rsid w:val="004B6CCD"/>
    <w:rsid w:val="004B7196"/>
    <w:rsid w:val="004C07C4"/>
    <w:rsid w:val="004C1351"/>
    <w:rsid w:val="004C2FC7"/>
    <w:rsid w:val="004C3988"/>
    <w:rsid w:val="004C3EF1"/>
    <w:rsid w:val="004C496E"/>
    <w:rsid w:val="004C5833"/>
    <w:rsid w:val="004C63CC"/>
    <w:rsid w:val="004C6631"/>
    <w:rsid w:val="004C6900"/>
    <w:rsid w:val="004C70B5"/>
    <w:rsid w:val="004C7458"/>
    <w:rsid w:val="004C75E4"/>
    <w:rsid w:val="004C79CE"/>
    <w:rsid w:val="004C7BC1"/>
    <w:rsid w:val="004D187F"/>
    <w:rsid w:val="004D1A86"/>
    <w:rsid w:val="004D2114"/>
    <w:rsid w:val="004D3FFA"/>
    <w:rsid w:val="004D42D1"/>
    <w:rsid w:val="004D5652"/>
    <w:rsid w:val="004D58E5"/>
    <w:rsid w:val="004D619F"/>
    <w:rsid w:val="004D6F95"/>
    <w:rsid w:val="004D7DBE"/>
    <w:rsid w:val="004D7DCE"/>
    <w:rsid w:val="004E011B"/>
    <w:rsid w:val="004E0B3A"/>
    <w:rsid w:val="004E0E82"/>
    <w:rsid w:val="004E3B8A"/>
    <w:rsid w:val="004E3F01"/>
    <w:rsid w:val="004E3F78"/>
    <w:rsid w:val="004E4E03"/>
    <w:rsid w:val="004E5057"/>
    <w:rsid w:val="004E5103"/>
    <w:rsid w:val="004E5985"/>
    <w:rsid w:val="004E63DF"/>
    <w:rsid w:val="004E6458"/>
    <w:rsid w:val="004E71BC"/>
    <w:rsid w:val="004E7C9C"/>
    <w:rsid w:val="004E7D6C"/>
    <w:rsid w:val="004F01BB"/>
    <w:rsid w:val="004F034E"/>
    <w:rsid w:val="004F0F55"/>
    <w:rsid w:val="004F1923"/>
    <w:rsid w:val="004F2130"/>
    <w:rsid w:val="004F3060"/>
    <w:rsid w:val="004F346B"/>
    <w:rsid w:val="004F37D8"/>
    <w:rsid w:val="004F385D"/>
    <w:rsid w:val="004F3C56"/>
    <w:rsid w:val="004F4995"/>
    <w:rsid w:val="004F5119"/>
    <w:rsid w:val="004F52A0"/>
    <w:rsid w:val="004F5F9F"/>
    <w:rsid w:val="004F60C7"/>
    <w:rsid w:val="004F7015"/>
    <w:rsid w:val="004F7246"/>
    <w:rsid w:val="004F7367"/>
    <w:rsid w:val="004F7C92"/>
    <w:rsid w:val="004F7D06"/>
    <w:rsid w:val="0050028C"/>
    <w:rsid w:val="00500798"/>
    <w:rsid w:val="00500AAE"/>
    <w:rsid w:val="0050184F"/>
    <w:rsid w:val="00501DDD"/>
    <w:rsid w:val="005041C6"/>
    <w:rsid w:val="00505189"/>
    <w:rsid w:val="00505751"/>
    <w:rsid w:val="0050698F"/>
    <w:rsid w:val="00507738"/>
    <w:rsid w:val="005079C3"/>
    <w:rsid w:val="00507BA9"/>
    <w:rsid w:val="00510D72"/>
    <w:rsid w:val="005112CB"/>
    <w:rsid w:val="00511677"/>
    <w:rsid w:val="005116EC"/>
    <w:rsid w:val="00511EEC"/>
    <w:rsid w:val="00512FB7"/>
    <w:rsid w:val="005130D7"/>
    <w:rsid w:val="0051403D"/>
    <w:rsid w:val="005140A5"/>
    <w:rsid w:val="00514152"/>
    <w:rsid w:val="00515422"/>
    <w:rsid w:val="00515AB8"/>
    <w:rsid w:val="0051617C"/>
    <w:rsid w:val="00516465"/>
    <w:rsid w:val="00516CDD"/>
    <w:rsid w:val="00517195"/>
    <w:rsid w:val="005179ED"/>
    <w:rsid w:val="00517A23"/>
    <w:rsid w:val="00520014"/>
    <w:rsid w:val="005202E5"/>
    <w:rsid w:val="005203DD"/>
    <w:rsid w:val="00522ED4"/>
    <w:rsid w:val="005231FF"/>
    <w:rsid w:val="005235BA"/>
    <w:rsid w:val="0052499D"/>
    <w:rsid w:val="00524BBD"/>
    <w:rsid w:val="00524F35"/>
    <w:rsid w:val="00526D80"/>
    <w:rsid w:val="00526ED2"/>
    <w:rsid w:val="00526FD9"/>
    <w:rsid w:val="00526FDA"/>
    <w:rsid w:val="005270C2"/>
    <w:rsid w:val="00527AD5"/>
    <w:rsid w:val="00527AE3"/>
    <w:rsid w:val="00530454"/>
    <w:rsid w:val="00530878"/>
    <w:rsid w:val="00531035"/>
    <w:rsid w:val="005312A5"/>
    <w:rsid w:val="00532951"/>
    <w:rsid w:val="00532B0C"/>
    <w:rsid w:val="00532EC6"/>
    <w:rsid w:val="005331C7"/>
    <w:rsid w:val="0053350E"/>
    <w:rsid w:val="00533A11"/>
    <w:rsid w:val="00534243"/>
    <w:rsid w:val="00535334"/>
    <w:rsid w:val="00535355"/>
    <w:rsid w:val="0053554A"/>
    <w:rsid w:val="00536917"/>
    <w:rsid w:val="00537415"/>
    <w:rsid w:val="00540C00"/>
    <w:rsid w:val="005413A8"/>
    <w:rsid w:val="00541791"/>
    <w:rsid w:val="00541BB5"/>
    <w:rsid w:val="005421AE"/>
    <w:rsid w:val="00542923"/>
    <w:rsid w:val="00542ADD"/>
    <w:rsid w:val="00542B63"/>
    <w:rsid w:val="005433E7"/>
    <w:rsid w:val="0054354B"/>
    <w:rsid w:val="005436B6"/>
    <w:rsid w:val="00543B12"/>
    <w:rsid w:val="005446D6"/>
    <w:rsid w:val="00544B49"/>
    <w:rsid w:val="00544B5A"/>
    <w:rsid w:val="00545DC0"/>
    <w:rsid w:val="00545E35"/>
    <w:rsid w:val="005462A4"/>
    <w:rsid w:val="00546596"/>
    <w:rsid w:val="00547473"/>
    <w:rsid w:val="005509D5"/>
    <w:rsid w:val="00555026"/>
    <w:rsid w:val="0055533D"/>
    <w:rsid w:val="005557A1"/>
    <w:rsid w:val="00555948"/>
    <w:rsid w:val="00557406"/>
    <w:rsid w:val="00557D52"/>
    <w:rsid w:val="00557F9D"/>
    <w:rsid w:val="00561702"/>
    <w:rsid w:val="005617DF"/>
    <w:rsid w:val="00561B4E"/>
    <w:rsid w:val="00561F77"/>
    <w:rsid w:val="0056251B"/>
    <w:rsid w:val="00562D45"/>
    <w:rsid w:val="00562EDB"/>
    <w:rsid w:val="00563A24"/>
    <w:rsid w:val="00564BCA"/>
    <w:rsid w:val="005652B1"/>
    <w:rsid w:val="0056613A"/>
    <w:rsid w:val="0056613E"/>
    <w:rsid w:val="0056617B"/>
    <w:rsid w:val="005661CA"/>
    <w:rsid w:val="0056651D"/>
    <w:rsid w:val="00567E81"/>
    <w:rsid w:val="005703A6"/>
    <w:rsid w:val="005716D5"/>
    <w:rsid w:val="0057289E"/>
    <w:rsid w:val="0057348B"/>
    <w:rsid w:val="00574C30"/>
    <w:rsid w:val="00575A38"/>
    <w:rsid w:val="00575C6C"/>
    <w:rsid w:val="00575E9C"/>
    <w:rsid w:val="00575F5A"/>
    <w:rsid w:val="00576300"/>
    <w:rsid w:val="00580115"/>
    <w:rsid w:val="00580574"/>
    <w:rsid w:val="00580BCE"/>
    <w:rsid w:val="00581D19"/>
    <w:rsid w:val="0058344E"/>
    <w:rsid w:val="005842AC"/>
    <w:rsid w:val="00585475"/>
    <w:rsid w:val="0058609A"/>
    <w:rsid w:val="00586D0F"/>
    <w:rsid w:val="0058778C"/>
    <w:rsid w:val="00590A33"/>
    <w:rsid w:val="00590C5C"/>
    <w:rsid w:val="00590CAA"/>
    <w:rsid w:val="0059135D"/>
    <w:rsid w:val="00591631"/>
    <w:rsid w:val="00592E47"/>
    <w:rsid w:val="00596252"/>
    <w:rsid w:val="00596B1A"/>
    <w:rsid w:val="00597BBB"/>
    <w:rsid w:val="005A016E"/>
    <w:rsid w:val="005A055C"/>
    <w:rsid w:val="005A0741"/>
    <w:rsid w:val="005A0799"/>
    <w:rsid w:val="005A0887"/>
    <w:rsid w:val="005A08D1"/>
    <w:rsid w:val="005A0A1D"/>
    <w:rsid w:val="005A0A3A"/>
    <w:rsid w:val="005A0A9F"/>
    <w:rsid w:val="005A1119"/>
    <w:rsid w:val="005A145D"/>
    <w:rsid w:val="005A2245"/>
    <w:rsid w:val="005A3B18"/>
    <w:rsid w:val="005A3C32"/>
    <w:rsid w:val="005A4524"/>
    <w:rsid w:val="005A5442"/>
    <w:rsid w:val="005A767E"/>
    <w:rsid w:val="005A7D96"/>
    <w:rsid w:val="005B11D8"/>
    <w:rsid w:val="005B160E"/>
    <w:rsid w:val="005B1815"/>
    <w:rsid w:val="005B19BC"/>
    <w:rsid w:val="005B1F03"/>
    <w:rsid w:val="005B2CEB"/>
    <w:rsid w:val="005B3202"/>
    <w:rsid w:val="005B3EB3"/>
    <w:rsid w:val="005B3F83"/>
    <w:rsid w:val="005B449A"/>
    <w:rsid w:val="005B53AC"/>
    <w:rsid w:val="005B5EB7"/>
    <w:rsid w:val="005B6427"/>
    <w:rsid w:val="005B7363"/>
    <w:rsid w:val="005B79A7"/>
    <w:rsid w:val="005C24C8"/>
    <w:rsid w:val="005C256F"/>
    <w:rsid w:val="005C2C62"/>
    <w:rsid w:val="005C3D8E"/>
    <w:rsid w:val="005C3DA8"/>
    <w:rsid w:val="005C46C3"/>
    <w:rsid w:val="005C4A1E"/>
    <w:rsid w:val="005C4C21"/>
    <w:rsid w:val="005C522C"/>
    <w:rsid w:val="005C55E8"/>
    <w:rsid w:val="005C59B3"/>
    <w:rsid w:val="005C5F22"/>
    <w:rsid w:val="005C66BC"/>
    <w:rsid w:val="005D104A"/>
    <w:rsid w:val="005D208F"/>
    <w:rsid w:val="005D2F8C"/>
    <w:rsid w:val="005D3592"/>
    <w:rsid w:val="005D3753"/>
    <w:rsid w:val="005D4373"/>
    <w:rsid w:val="005D5A31"/>
    <w:rsid w:val="005D5B78"/>
    <w:rsid w:val="005D6929"/>
    <w:rsid w:val="005D69D0"/>
    <w:rsid w:val="005D7349"/>
    <w:rsid w:val="005D785A"/>
    <w:rsid w:val="005E0872"/>
    <w:rsid w:val="005E210F"/>
    <w:rsid w:val="005E2F2C"/>
    <w:rsid w:val="005E38E9"/>
    <w:rsid w:val="005E411B"/>
    <w:rsid w:val="005E4208"/>
    <w:rsid w:val="005E458D"/>
    <w:rsid w:val="005E4ACD"/>
    <w:rsid w:val="005E6CC4"/>
    <w:rsid w:val="005F0217"/>
    <w:rsid w:val="005F090F"/>
    <w:rsid w:val="005F11C7"/>
    <w:rsid w:val="005F1DCB"/>
    <w:rsid w:val="005F1F8B"/>
    <w:rsid w:val="005F2927"/>
    <w:rsid w:val="005F2A8C"/>
    <w:rsid w:val="005F2F7E"/>
    <w:rsid w:val="005F33B3"/>
    <w:rsid w:val="005F415A"/>
    <w:rsid w:val="005F4544"/>
    <w:rsid w:val="005F4AE7"/>
    <w:rsid w:val="005F5327"/>
    <w:rsid w:val="005F56D1"/>
    <w:rsid w:val="005F5867"/>
    <w:rsid w:val="005F5D67"/>
    <w:rsid w:val="005F67E1"/>
    <w:rsid w:val="005F6E5B"/>
    <w:rsid w:val="005F6E87"/>
    <w:rsid w:val="00600777"/>
    <w:rsid w:val="00600C27"/>
    <w:rsid w:val="0060137B"/>
    <w:rsid w:val="006018FB"/>
    <w:rsid w:val="006024A2"/>
    <w:rsid w:val="006025A7"/>
    <w:rsid w:val="00602A42"/>
    <w:rsid w:val="00603429"/>
    <w:rsid w:val="00604233"/>
    <w:rsid w:val="00604610"/>
    <w:rsid w:val="0060514F"/>
    <w:rsid w:val="00605156"/>
    <w:rsid w:val="00605B80"/>
    <w:rsid w:val="00606165"/>
    <w:rsid w:val="006077B1"/>
    <w:rsid w:val="0060796A"/>
    <w:rsid w:val="00607F13"/>
    <w:rsid w:val="00610417"/>
    <w:rsid w:val="00612A6D"/>
    <w:rsid w:val="00612F0A"/>
    <w:rsid w:val="0061355E"/>
    <w:rsid w:val="00613C2D"/>
    <w:rsid w:val="0061484A"/>
    <w:rsid w:val="00614F9C"/>
    <w:rsid w:val="00615D00"/>
    <w:rsid w:val="00615D3C"/>
    <w:rsid w:val="00616325"/>
    <w:rsid w:val="00617E27"/>
    <w:rsid w:val="00620D48"/>
    <w:rsid w:val="00621407"/>
    <w:rsid w:val="006214E6"/>
    <w:rsid w:val="00621DC1"/>
    <w:rsid w:val="00622013"/>
    <w:rsid w:val="0062214F"/>
    <w:rsid w:val="00622428"/>
    <w:rsid w:val="00622496"/>
    <w:rsid w:val="00622DD2"/>
    <w:rsid w:val="00622E97"/>
    <w:rsid w:val="006241BF"/>
    <w:rsid w:val="006247C7"/>
    <w:rsid w:val="006256B6"/>
    <w:rsid w:val="00625E8B"/>
    <w:rsid w:val="00626087"/>
    <w:rsid w:val="00627ED9"/>
    <w:rsid w:val="006303A6"/>
    <w:rsid w:val="0063070E"/>
    <w:rsid w:val="00632772"/>
    <w:rsid w:val="0063368A"/>
    <w:rsid w:val="006351CC"/>
    <w:rsid w:val="006409EA"/>
    <w:rsid w:val="0064215A"/>
    <w:rsid w:val="006428F0"/>
    <w:rsid w:val="00642A10"/>
    <w:rsid w:val="006431EC"/>
    <w:rsid w:val="00643202"/>
    <w:rsid w:val="006437AA"/>
    <w:rsid w:val="00643CF4"/>
    <w:rsid w:val="00644068"/>
    <w:rsid w:val="0064516E"/>
    <w:rsid w:val="00645E37"/>
    <w:rsid w:val="00646959"/>
    <w:rsid w:val="00646DF7"/>
    <w:rsid w:val="006478F5"/>
    <w:rsid w:val="00647BB6"/>
    <w:rsid w:val="006511F7"/>
    <w:rsid w:val="00651656"/>
    <w:rsid w:val="006530C8"/>
    <w:rsid w:val="006538EA"/>
    <w:rsid w:val="00653FB6"/>
    <w:rsid w:val="0065421A"/>
    <w:rsid w:val="006542CD"/>
    <w:rsid w:val="006543FD"/>
    <w:rsid w:val="00655B41"/>
    <w:rsid w:val="00655ED2"/>
    <w:rsid w:val="006562C4"/>
    <w:rsid w:val="006563C9"/>
    <w:rsid w:val="00656657"/>
    <w:rsid w:val="00656BCE"/>
    <w:rsid w:val="006572F0"/>
    <w:rsid w:val="0065792E"/>
    <w:rsid w:val="0066000D"/>
    <w:rsid w:val="0066030A"/>
    <w:rsid w:val="006603FB"/>
    <w:rsid w:val="00660402"/>
    <w:rsid w:val="006605E3"/>
    <w:rsid w:val="00661EB6"/>
    <w:rsid w:val="00662120"/>
    <w:rsid w:val="006628EB"/>
    <w:rsid w:val="00664FED"/>
    <w:rsid w:val="00666F49"/>
    <w:rsid w:val="00666F6E"/>
    <w:rsid w:val="006710A4"/>
    <w:rsid w:val="006710D8"/>
    <w:rsid w:val="0067170E"/>
    <w:rsid w:val="00671B71"/>
    <w:rsid w:val="00671E87"/>
    <w:rsid w:val="006728DC"/>
    <w:rsid w:val="00672F33"/>
    <w:rsid w:val="00673728"/>
    <w:rsid w:val="00673B70"/>
    <w:rsid w:val="00673C5E"/>
    <w:rsid w:val="00674298"/>
    <w:rsid w:val="00674405"/>
    <w:rsid w:val="00675402"/>
    <w:rsid w:val="00675753"/>
    <w:rsid w:val="0067671B"/>
    <w:rsid w:val="00677680"/>
    <w:rsid w:val="00680312"/>
    <w:rsid w:val="006804D7"/>
    <w:rsid w:val="00680D43"/>
    <w:rsid w:val="00681837"/>
    <w:rsid w:val="00681D98"/>
    <w:rsid w:val="00682C15"/>
    <w:rsid w:val="00682E1A"/>
    <w:rsid w:val="006837A8"/>
    <w:rsid w:val="00685597"/>
    <w:rsid w:val="0068597A"/>
    <w:rsid w:val="006862E0"/>
    <w:rsid w:val="006867C0"/>
    <w:rsid w:val="0068779F"/>
    <w:rsid w:val="0068784F"/>
    <w:rsid w:val="00691A66"/>
    <w:rsid w:val="006925C4"/>
    <w:rsid w:val="0069295E"/>
    <w:rsid w:val="00695821"/>
    <w:rsid w:val="00696539"/>
    <w:rsid w:val="0069706A"/>
    <w:rsid w:val="00697571"/>
    <w:rsid w:val="006A00B0"/>
    <w:rsid w:val="006A08F8"/>
    <w:rsid w:val="006A0D93"/>
    <w:rsid w:val="006A0FA9"/>
    <w:rsid w:val="006A2E11"/>
    <w:rsid w:val="006A2ED9"/>
    <w:rsid w:val="006A34AD"/>
    <w:rsid w:val="006A5615"/>
    <w:rsid w:val="006A5C5B"/>
    <w:rsid w:val="006A5CD8"/>
    <w:rsid w:val="006A6558"/>
    <w:rsid w:val="006A6912"/>
    <w:rsid w:val="006A7666"/>
    <w:rsid w:val="006A7D59"/>
    <w:rsid w:val="006B01D7"/>
    <w:rsid w:val="006B029B"/>
    <w:rsid w:val="006B1469"/>
    <w:rsid w:val="006B1A1C"/>
    <w:rsid w:val="006B280A"/>
    <w:rsid w:val="006B347A"/>
    <w:rsid w:val="006B3575"/>
    <w:rsid w:val="006B611D"/>
    <w:rsid w:val="006B630B"/>
    <w:rsid w:val="006B676B"/>
    <w:rsid w:val="006B6960"/>
    <w:rsid w:val="006B75C8"/>
    <w:rsid w:val="006C077B"/>
    <w:rsid w:val="006C1447"/>
    <w:rsid w:val="006C190E"/>
    <w:rsid w:val="006C1987"/>
    <w:rsid w:val="006C25D5"/>
    <w:rsid w:val="006C2697"/>
    <w:rsid w:val="006C2C21"/>
    <w:rsid w:val="006C2DBD"/>
    <w:rsid w:val="006C4638"/>
    <w:rsid w:val="006C4802"/>
    <w:rsid w:val="006C5518"/>
    <w:rsid w:val="006C59A8"/>
    <w:rsid w:val="006C6147"/>
    <w:rsid w:val="006C61AE"/>
    <w:rsid w:val="006C6352"/>
    <w:rsid w:val="006C6BDC"/>
    <w:rsid w:val="006C7061"/>
    <w:rsid w:val="006C7641"/>
    <w:rsid w:val="006C7FCC"/>
    <w:rsid w:val="006D050E"/>
    <w:rsid w:val="006D06F2"/>
    <w:rsid w:val="006D10A4"/>
    <w:rsid w:val="006D15DA"/>
    <w:rsid w:val="006D25AF"/>
    <w:rsid w:val="006D4BC7"/>
    <w:rsid w:val="006D4F92"/>
    <w:rsid w:val="006D51E5"/>
    <w:rsid w:val="006D5488"/>
    <w:rsid w:val="006D6C00"/>
    <w:rsid w:val="006D708E"/>
    <w:rsid w:val="006D787E"/>
    <w:rsid w:val="006D7BB9"/>
    <w:rsid w:val="006E0B2C"/>
    <w:rsid w:val="006E112E"/>
    <w:rsid w:val="006E1D43"/>
    <w:rsid w:val="006E1F67"/>
    <w:rsid w:val="006E264A"/>
    <w:rsid w:val="006E3723"/>
    <w:rsid w:val="006E3B1E"/>
    <w:rsid w:val="006E41BE"/>
    <w:rsid w:val="006E546D"/>
    <w:rsid w:val="006E5D47"/>
    <w:rsid w:val="006E60B5"/>
    <w:rsid w:val="006E6812"/>
    <w:rsid w:val="006E6ECB"/>
    <w:rsid w:val="006E718C"/>
    <w:rsid w:val="006E7A4B"/>
    <w:rsid w:val="006E7C71"/>
    <w:rsid w:val="006F177D"/>
    <w:rsid w:val="006F28C0"/>
    <w:rsid w:val="006F32F3"/>
    <w:rsid w:val="006F3880"/>
    <w:rsid w:val="006F4738"/>
    <w:rsid w:val="006F4EBC"/>
    <w:rsid w:val="006F5D55"/>
    <w:rsid w:val="006F6191"/>
    <w:rsid w:val="006F6D40"/>
    <w:rsid w:val="006F6E02"/>
    <w:rsid w:val="006F6E4B"/>
    <w:rsid w:val="006F715F"/>
    <w:rsid w:val="006F7356"/>
    <w:rsid w:val="00700C39"/>
    <w:rsid w:val="00700FBD"/>
    <w:rsid w:val="00701446"/>
    <w:rsid w:val="00701CBF"/>
    <w:rsid w:val="00701DDD"/>
    <w:rsid w:val="00702216"/>
    <w:rsid w:val="0070230E"/>
    <w:rsid w:val="00702CD6"/>
    <w:rsid w:val="007033DC"/>
    <w:rsid w:val="00703E94"/>
    <w:rsid w:val="0070450F"/>
    <w:rsid w:val="007054D0"/>
    <w:rsid w:val="00705696"/>
    <w:rsid w:val="00706238"/>
    <w:rsid w:val="0070624E"/>
    <w:rsid w:val="00707D10"/>
    <w:rsid w:val="00710A26"/>
    <w:rsid w:val="00712674"/>
    <w:rsid w:val="007153DA"/>
    <w:rsid w:val="00715600"/>
    <w:rsid w:val="00716024"/>
    <w:rsid w:val="0071628D"/>
    <w:rsid w:val="00716A7C"/>
    <w:rsid w:val="00716B57"/>
    <w:rsid w:val="00716BA2"/>
    <w:rsid w:val="00717974"/>
    <w:rsid w:val="00717E1D"/>
    <w:rsid w:val="00720946"/>
    <w:rsid w:val="00720E15"/>
    <w:rsid w:val="00721965"/>
    <w:rsid w:val="00722C2E"/>
    <w:rsid w:val="00722F82"/>
    <w:rsid w:val="0072339D"/>
    <w:rsid w:val="00724097"/>
    <w:rsid w:val="007240AB"/>
    <w:rsid w:val="007247BC"/>
    <w:rsid w:val="00725093"/>
    <w:rsid w:val="007251F3"/>
    <w:rsid w:val="00725EB8"/>
    <w:rsid w:val="007262F6"/>
    <w:rsid w:val="0072670B"/>
    <w:rsid w:val="00727C65"/>
    <w:rsid w:val="007313F1"/>
    <w:rsid w:val="0073192B"/>
    <w:rsid w:val="00731C9F"/>
    <w:rsid w:val="00732758"/>
    <w:rsid w:val="007332C2"/>
    <w:rsid w:val="00733E05"/>
    <w:rsid w:val="007342B1"/>
    <w:rsid w:val="0073499F"/>
    <w:rsid w:val="00734A04"/>
    <w:rsid w:val="00736374"/>
    <w:rsid w:val="00736AE4"/>
    <w:rsid w:val="007408CE"/>
    <w:rsid w:val="007408E9"/>
    <w:rsid w:val="007417A5"/>
    <w:rsid w:val="00741DFC"/>
    <w:rsid w:val="00742304"/>
    <w:rsid w:val="007425E2"/>
    <w:rsid w:val="00745035"/>
    <w:rsid w:val="007453F4"/>
    <w:rsid w:val="00745608"/>
    <w:rsid w:val="007458F5"/>
    <w:rsid w:val="007469AC"/>
    <w:rsid w:val="00746EDF"/>
    <w:rsid w:val="00747071"/>
    <w:rsid w:val="0075019B"/>
    <w:rsid w:val="00751121"/>
    <w:rsid w:val="007533C0"/>
    <w:rsid w:val="00754F4B"/>
    <w:rsid w:val="007553CE"/>
    <w:rsid w:val="007554C8"/>
    <w:rsid w:val="00756914"/>
    <w:rsid w:val="00757948"/>
    <w:rsid w:val="007601F2"/>
    <w:rsid w:val="007609D5"/>
    <w:rsid w:val="00760C61"/>
    <w:rsid w:val="007612AB"/>
    <w:rsid w:val="00761A5C"/>
    <w:rsid w:val="0076343F"/>
    <w:rsid w:val="00763903"/>
    <w:rsid w:val="00763922"/>
    <w:rsid w:val="00763DCB"/>
    <w:rsid w:val="00764FDC"/>
    <w:rsid w:val="00766DA5"/>
    <w:rsid w:val="00767239"/>
    <w:rsid w:val="00767BE7"/>
    <w:rsid w:val="00767D94"/>
    <w:rsid w:val="0077014C"/>
    <w:rsid w:val="0077028D"/>
    <w:rsid w:val="00770372"/>
    <w:rsid w:val="00770E10"/>
    <w:rsid w:val="007716EC"/>
    <w:rsid w:val="00771FAC"/>
    <w:rsid w:val="00772822"/>
    <w:rsid w:val="007728AA"/>
    <w:rsid w:val="00772DE4"/>
    <w:rsid w:val="00775B97"/>
    <w:rsid w:val="0077659B"/>
    <w:rsid w:val="00777A90"/>
    <w:rsid w:val="007804AC"/>
    <w:rsid w:val="00780950"/>
    <w:rsid w:val="00781605"/>
    <w:rsid w:val="00781E99"/>
    <w:rsid w:val="00782607"/>
    <w:rsid w:val="00782657"/>
    <w:rsid w:val="00782FDC"/>
    <w:rsid w:val="00783178"/>
    <w:rsid w:val="00783853"/>
    <w:rsid w:val="00785B47"/>
    <w:rsid w:val="00786545"/>
    <w:rsid w:val="00786D4E"/>
    <w:rsid w:val="00786FC8"/>
    <w:rsid w:val="0078726C"/>
    <w:rsid w:val="00787D50"/>
    <w:rsid w:val="00790E44"/>
    <w:rsid w:val="00791403"/>
    <w:rsid w:val="0079145C"/>
    <w:rsid w:val="00793650"/>
    <w:rsid w:val="00793968"/>
    <w:rsid w:val="00794734"/>
    <w:rsid w:val="007950AC"/>
    <w:rsid w:val="007959C7"/>
    <w:rsid w:val="00795B1D"/>
    <w:rsid w:val="00795B29"/>
    <w:rsid w:val="007960F0"/>
    <w:rsid w:val="00796772"/>
    <w:rsid w:val="00796ADB"/>
    <w:rsid w:val="00796D8F"/>
    <w:rsid w:val="00796DFC"/>
    <w:rsid w:val="00797756"/>
    <w:rsid w:val="00797904"/>
    <w:rsid w:val="007A04A2"/>
    <w:rsid w:val="007A0803"/>
    <w:rsid w:val="007A14EB"/>
    <w:rsid w:val="007A156D"/>
    <w:rsid w:val="007A1922"/>
    <w:rsid w:val="007A19A1"/>
    <w:rsid w:val="007A26FB"/>
    <w:rsid w:val="007A370D"/>
    <w:rsid w:val="007A3781"/>
    <w:rsid w:val="007A3783"/>
    <w:rsid w:val="007A4634"/>
    <w:rsid w:val="007A4E4C"/>
    <w:rsid w:val="007A5362"/>
    <w:rsid w:val="007A5446"/>
    <w:rsid w:val="007A5487"/>
    <w:rsid w:val="007A630D"/>
    <w:rsid w:val="007A6C02"/>
    <w:rsid w:val="007A78C6"/>
    <w:rsid w:val="007A7DC8"/>
    <w:rsid w:val="007B1349"/>
    <w:rsid w:val="007B143E"/>
    <w:rsid w:val="007B397B"/>
    <w:rsid w:val="007B39A5"/>
    <w:rsid w:val="007B3E59"/>
    <w:rsid w:val="007B3EEB"/>
    <w:rsid w:val="007B4884"/>
    <w:rsid w:val="007B4BF3"/>
    <w:rsid w:val="007B51E3"/>
    <w:rsid w:val="007B69DC"/>
    <w:rsid w:val="007B6A8A"/>
    <w:rsid w:val="007B6B81"/>
    <w:rsid w:val="007B6FDB"/>
    <w:rsid w:val="007B72BD"/>
    <w:rsid w:val="007C0D0B"/>
    <w:rsid w:val="007C0F1C"/>
    <w:rsid w:val="007C247E"/>
    <w:rsid w:val="007C2A39"/>
    <w:rsid w:val="007C31D4"/>
    <w:rsid w:val="007C3459"/>
    <w:rsid w:val="007C3A6D"/>
    <w:rsid w:val="007C3D7E"/>
    <w:rsid w:val="007C3FD0"/>
    <w:rsid w:val="007C48AC"/>
    <w:rsid w:val="007C4B44"/>
    <w:rsid w:val="007C4F2C"/>
    <w:rsid w:val="007C50AC"/>
    <w:rsid w:val="007C5BE2"/>
    <w:rsid w:val="007C7502"/>
    <w:rsid w:val="007C7530"/>
    <w:rsid w:val="007C7684"/>
    <w:rsid w:val="007C7751"/>
    <w:rsid w:val="007C7ACA"/>
    <w:rsid w:val="007C7E6E"/>
    <w:rsid w:val="007D1186"/>
    <w:rsid w:val="007D3068"/>
    <w:rsid w:val="007D37EF"/>
    <w:rsid w:val="007D468B"/>
    <w:rsid w:val="007D48B1"/>
    <w:rsid w:val="007D4D82"/>
    <w:rsid w:val="007D544F"/>
    <w:rsid w:val="007D5585"/>
    <w:rsid w:val="007D6783"/>
    <w:rsid w:val="007D682A"/>
    <w:rsid w:val="007E0D19"/>
    <w:rsid w:val="007E0FDA"/>
    <w:rsid w:val="007E1B60"/>
    <w:rsid w:val="007E23D4"/>
    <w:rsid w:val="007E2F1D"/>
    <w:rsid w:val="007E4315"/>
    <w:rsid w:val="007E5993"/>
    <w:rsid w:val="007E73CA"/>
    <w:rsid w:val="007E7C4A"/>
    <w:rsid w:val="007E7E57"/>
    <w:rsid w:val="007F0050"/>
    <w:rsid w:val="007F0DC5"/>
    <w:rsid w:val="007F15FD"/>
    <w:rsid w:val="007F223D"/>
    <w:rsid w:val="007F26E4"/>
    <w:rsid w:val="007F29B8"/>
    <w:rsid w:val="007F2B0F"/>
    <w:rsid w:val="007F3587"/>
    <w:rsid w:val="007F3917"/>
    <w:rsid w:val="007F3CCD"/>
    <w:rsid w:val="007F52D3"/>
    <w:rsid w:val="007F56D6"/>
    <w:rsid w:val="007F6796"/>
    <w:rsid w:val="007F6910"/>
    <w:rsid w:val="007F6A92"/>
    <w:rsid w:val="00800189"/>
    <w:rsid w:val="008005EB"/>
    <w:rsid w:val="0080077E"/>
    <w:rsid w:val="00801781"/>
    <w:rsid w:val="00801F77"/>
    <w:rsid w:val="00802B2E"/>
    <w:rsid w:val="00802D27"/>
    <w:rsid w:val="00803585"/>
    <w:rsid w:val="00804621"/>
    <w:rsid w:val="00804822"/>
    <w:rsid w:val="00804873"/>
    <w:rsid w:val="00804F9A"/>
    <w:rsid w:val="00805712"/>
    <w:rsid w:val="00806189"/>
    <w:rsid w:val="00806604"/>
    <w:rsid w:val="00806F99"/>
    <w:rsid w:val="008101C3"/>
    <w:rsid w:val="008103A8"/>
    <w:rsid w:val="0081056E"/>
    <w:rsid w:val="0081183D"/>
    <w:rsid w:val="008121AC"/>
    <w:rsid w:val="0081246C"/>
    <w:rsid w:val="00812F43"/>
    <w:rsid w:val="008130D1"/>
    <w:rsid w:val="00813155"/>
    <w:rsid w:val="00813766"/>
    <w:rsid w:val="00813D85"/>
    <w:rsid w:val="00815E83"/>
    <w:rsid w:val="008165A9"/>
    <w:rsid w:val="0081739B"/>
    <w:rsid w:val="00817B12"/>
    <w:rsid w:val="00817EC4"/>
    <w:rsid w:val="00820ADF"/>
    <w:rsid w:val="00820E9A"/>
    <w:rsid w:val="008224F4"/>
    <w:rsid w:val="00822BBE"/>
    <w:rsid w:val="008236A5"/>
    <w:rsid w:val="00823C54"/>
    <w:rsid w:val="00823CCB"/>
    <w:rsid w:val="00824985"/>
    <w:rsid w:val="00824993"/>
    <w:rsid w:val="00825000"/>
    <w:rsid w:val="00826806"/>
    <w:rsid w:val="0082684C"/>
    <w:rsid w:val="0083032D"/>
    <w:rsid w:val="00830450"/>
    <w:rsid w:val="008306A2"/>
    <w:rsid w:val="0083075F"/>
    <w:rsid w:val="0083175E"/>
    <w:rsid w:val="008323D4"/>
    <w:rsid w:val="00832D35"/>
    <w:rsid w:val="00834335"/>
    <w:rsid w:val="008346F1"/>
    <w:rsid w:val="008353E9"/>
    <w:rsid w:val="008358AA"/>
    <w:rsid w:val="008361E5"/>
    <w:rsid w:val="00836589"/>
    <w:rsid w:val="0083717C"/>
    <w:rsid w:val="00837618"/>
    <w:rsid w:val="00837718"/>
    <w:rsid w:val="00837DB7"/>
    <w:rsid w:val="00837E8A"/>
    <w:rsid w:val="00840C04"/>
    <w:rsid w:val="00840E39"/>
    <w:rsid w:val="008413E5"/>
    <w:rsid w:val="008415ED"/>
    <w:rsid w:val="00842DAC"/>
    <w:rsid w:val="00843C4F"/>
    <w:rsid w:val="00843FC3"/>
    <w:rsid w:val="008442BF"/>
    <w:rsid w:val="00844D9C"/>
    <w:rsid w:val="00845571"/>
    <w:rsid w:val="00847015"/>
    <w:rsid w:val="008474D0"/>
    <w:rsid w:val="00851547"/>
    <w:rsid w:val="00851912"/>
    <w:rsid w:val="00851C67"/>
    <w:rsid w:val="00852171"/>
    <w:rsid w:val="008521E0"/>
    <w:rsid w:val="008541B7"/>
    <w:rsid w:val="008552F9"/>
    <w:rsid w:val="008553DF"/>
    <w:rsid w:val="008560A0"/>
    <w:rsid w:val="00856F06"/>
    <w:rsid w:val="008573F5"/>
    <w:rsid w:val="00857D25"/>
    <w:rsid w:val="008604F5"/>
    <w:rsid w:val="00861274"/>
    <w:rsid w:val="00861479"/>
    <w:rsid w:val="00861820"/>
    <w:rsid w:val="008632C5"/>
    <w:rsid w:val="00864CE0"/>
    <w:rsid w:val="00865D2A"/>
    <w:rsid w:val="00865FF1"/>
    <w:rsid w:val="00866589"/>
    <w:rsid w:val="00867E76"/>
    <w:rsid w:val="00867EAE"/>
    <w:rsid w:val="00870DD7"/>
    <w:rsid w:val="00870ED5"/>
    <w:rsid w:val="00871C67"/>
    <w:rsid w:val="00872911"/>
    <w:rsid w:val="00872E2B"/>
    <w:rsid w:val="00873F29"/>
    <w:rsid w:val="008745B6"/>
    <w:rsid w:val="0087470E"/>
    <w:rsid w:val="00877616"/>
    <w:rsid w:val="00880C11"/>
    <w:rsid w:val="00881DF0"/>
    <w:rsid w:val="008821BE"/>
    <w:rsid w:val="00882939"/>
    <w:rsid w:val="00882FF4"/>
    <w:rsid w:val="00883BF5"/>
    <w:rsid w:val="00883CDE"/>
    <w:rsid w:val="00884FD0"/>
    <w:rsid w:val="00887505"/>
    <w:rsid w:val="00887BC7"/>
    <w:rsid w:val="00887C70"/>
    <w:rsid w:val="00887C94"/>
    <w:rsid w:val="00890051"/>
    <w:rsid w:val="0089091F"/>
    <w:rsid w:val="00890E25"/>
    <w:rsid w:val="00890E7A"/>
    <w:rsid w:val="00891A01"/>
    <w:rsid w:val="00891B28"/>
    <w:rsid w:val="0089301A"/>
    <w:rsid w:val="008934E9"/>
    <w:rsid w:val="00894A8E"/>
    <w:rsid w:val="00894AB8"/>
    <w:rsid w:val="00894C79"/>
    <w:rsid w:val="00895067"/>
    <w:rsid w:val="00895E5F"/>
    <w:rsid w:val="008964EB"/>
    <w:rsid w:val="008970A5"/>
    <w:rsid w:val="00897162"/>
    <w:rsid w:val="00897BF5"/>
    <w:rsid w:val="00897E4A"/>
    <w:rsid w:val="008A28E9"/>
    <w:rsid w:val="008A3668"/>
    <w:rsid w:val="008A3D97"/>
    <w:rsid w:val="008A4175"/>
    <w:rsid w:val="008A42FC"/>
    <w:rsid w:val="008A51B6"/>
    <w:rsid w:val="008A5336"/>
    <w:rsid w:val="008A67E4"/>
    <w:rsid w:val="008A6E48"/>
    <w:rsid w:val="008A7AAD"/>
    <w:rsid w:val="008B0C7A"/>
    <w:rsid w:val="008B0FBC"/>
    <w:rsid w:val="008B10E0"/>
    <w:rsid w:val="008B1A61"/>
    <w:rsid w:val="008B2277"/>
    <w:rsid w:val="008B2FDC"/>
    <w:rsid w:val="008B30F5"/>
    <w:rsid w:val="008B4272"/>
    <w:rsid w:val="008B432E"/>
    <w:rsid w:val="008B4381"/>
    <w:rsid w:val="008B4F2A"/>
    <w:rsid w:val="008B5EEC"/>
    <w:rsid w:val="008B7C54"/>
    <w:rsid w:val="008C1D62"/>
    <w:rsid w:val="008C389F"/>
    <w:rsid w:val="008C3AE4"/>
    <w:rsid w:val="008C3C86"/>
    <w:rsid w:val="008C4152"/>
    <w:rsid w:val="008C47F1"/>
    <w:rsid w:val="008C5411"/>
    <w:rsid w:val="008C541E"/>
    <w:rsid w:val="008C6886"/>
    <w:rsid w:val="008C6FBB"/>
    <w:rsid w:val="008D1228"/>
    <w:rsid w:val="008D173D"/>
    <w:rsid w:val="008D1752"/>
    <w:rsid w:val="008D3E15"/>
    <w:rsid w:val="008D44FD"/>
    <w:rsid w:val="008D4DC2"/>
    <w:rsid w:val="008D58D8"/>
    <w:rsid w:val="008D67C9"/>
    <w:rsid w:val="008D69EE"/>
    <w:rsid w:val="008D6A76"/>
    <w:rsid w:val="008D6F60"/>
    <w:rsid w:val="008D71A4"/>
    <w:rsid w:val="008D78B9"/>
    <w:rsid w:val="008E0308"/>
    <w:rsid w:val="008E0433"/>
    <w:rsid w:val="008E0503"/>
    <w:rsid w:val="008E09C6"/>
    <w:rsid w:val="008E1477"/>
    <w:rsid w:val="008E1845"/>
    <w:rsid w:val="008E1B81"/>
    <w:rsid w:val="008E2082"/>
    <w:rsid w:val="008E2432"/>
    <w:rsid w:val="008E2C51"/>
    <w:rsid w:val="008E37A4"/>
    <w:rsid w:val="008E4524"/>
    <w:rsid w:val="008E4657"/>
    <w:rsid w:val="008E4C58"/>
    <w:rsid w:val="008E5806"/>
    <w:rsid w:val="008E7176"/>
    <w:rsid w:val="008E7283"/>
    <w:rsid w:val="008E77AB"/>
    <w:rsid w:val="008F0119"/>
    <w:rsid w:val="008F0121"/>
    <w:rsid w:val="008F09AC"/>
    <w:rsid w:val="008F0C5E"/>
    <w:rsid w:val="008F0D82"/>
    <w:rsid w:val="008F1D23"/>
    <w:rsid w:val="008F2232"/>
    <w:rsid w:val="008F2AF6"/>
    <w:rsid w:val="008F3537"/>
    <w:rsid w:val="008F3757"/>
    <w:rsid w:val="008F420E"/>
    <w:rsid w:val="008F4A39"/>
    <w:rsid w:val="008F4AC5"/>
    <w:rsid w:val="008F4ADA"/>
    <w:rsid w:val="008F5EBB"/>
    <w:rsid w:val="008F7027"/>
    <w:rsid w:val="008F7D51"/>
    <w:rsid w:val="0090015E"/>
    <w:rsid w:val="00900799"/>
    <w:rsid w:val="009008CB"/>
    <w:rsid w:val="00901F87"/>
    <w:rsid w:val="009024EA"/>
    <w:rsid w:val="009025EB"/>
    <w:rsid w:val="009028CF"/>
    <w:rsid w:val="009029CA"/>
    <w:rsid w:val="009033CF"/>
    <w:rsid w:val="009038B8"/>
    <w:rsid w:val="009038C4"/>
    <w:rsid w:val="0090393C"/>
    <w:rsid w:val="00903AD6"/>
    <w:rsid w:val="00903FC0"/>
    <w:rsid w:val="00904B0E"/>
    <w:rsid w:val="00905098"/>
    <w:rsid w:val="00905337"/>
    <w:rsid w:val="00905D6B"/>
    <w:rsid w:val="00906484"/>
    <w:rsid w:val="00907A4B"/>
    <w:rsid w:val="00907B30"/>
    <w:rsid w:val="00907FB6"/>
    <w:rsid w:val="009100C2"/>
    <w:rsid w:val="009107B2"/>
    <w:rsid w:val="00911CF5"/>
    <w:rsid w:val="00911D1B"/>
    <w:rsid w:val="00911F32"/>
    <w:rsid w:val="00911FBC"/>
    <w:rsid w:val="00912C50"/>
    <w:rsid w:val="009130DB"/>
    <w:rsid w:val="00913C3F"/>
    <w:rsid w:val="009140CF"/>
    <w:rsid w:val="009144AC"/>
    <w:rsid w:val="00914771"/>
    <w:rsid w:val="00914EA8"/>
    <w:rsid w:val="00915015"/>
    <w:rsid w:val="00915C57"/>
    <w:rsid w:val="00915F1A"/>
    <w:rsid w:val="0091637F"/>
    <w:rsid w:val="009174DE"/>
    <w:rsid w:val="00917741"/>
    <w:rsid w:val="00917C21"/>
    <w:rsid w:val="00920D69"/>
    <w:rsid w:val="00921059"/>
    <w:rsid w:val="00921296"/>
    <w:rsid w:val="00921FB3"/>
    <w:rsid w:val="009223EE"/>
    <w:rsid w:val="00922DB7"/>
    <w:rsid w:val="00923DC0"/>
    <w:rsid w:val="00924518"/>
    <w:rsid w:val="00924761"/>
    <w:rsid w:val="009247C6"/>
    <w:rsid w:val="009258CE"/>
    <w:rsid w:val="009259D2"/>
    <w:rsid w:val="00925DDC"/>
    <w:rsid w:val="00925F67"/>
    <w:rsid w:val="00926005"/>
    <w:rsid w:val="00926281"/>
    <w:rsid w:val="009267E0"/>
    <w:rsid w:val="00926F45"/>
    <w:rsid w:val="00927913"/>
    <w:rsid w:val="00931508"/>
    <w:rsid w:val="009324FE"/>
    <w:rsid w:val="00932776"/>
    <w:rsid w:val="009331B8"/>
    <w:rsid w:val="00933920"/>
    <w:rsid w:val="00933EBA"/>
    <w:rsid w:val="00933EDD"/>
    <w:rsid w:val="00935E8C"/>
    <w:rsid w:val="00936117"/>
    <w:rsid w:val="00936803"/>
    <w:rsid w:val="0093693F"/>
    <w:rsid w:val="00937D47"/>
    <w:rsid w:val="009411FE"/>
    <w:rsid w:val="0094148A"/>
    <w:rsid w:val="00941528"/>
    <w:rsid w:val="00941751"/>
    <w:rsid w:val="00941A8F"/>
    <w:rsid w:val="0094227B"/>
    <w:rsid w:val="00942525"/>
    <w:rsid w:val="00943132"/>
    <w:rsid w:val="009439CB"/>
    <w:rsid w:val="00944142"/>
    <w:rsid w:val="00946BE2"/>
    <w:rsid w:val="009508D3"/>
    <w:rsid w:val="00950D39"/>
    <w:rsid w:val="00951567"/>
    <w:rsid w:val="00951872"/>
    <w:rsid w:val="009518BB"/>
    <w:rsid w:val="009518F4"/>
    <w:rsid w:val="00951E86"/>
    <w:rsid w:val="00951FB6"/>
    <w:rsid w:val="00952945"/>
    <w:rsid w:val="00952FD7"/>
    <w:rsid w:val="009533FC"/>
    <w:rsid w:val="00954896"/>
    <w:rsid w:val="0095506A"/>
    <w:rsid w:val="009554DA"/>
    <w:rsid w:val="00956109"/>
    <w:rsid w:val="0095615B"/>
    <w:rsid w:val="00956592"/>
    <w:rsid w:val="00956C7A"/>
    <w:rsid w:val="009571C6"/>
    <w:rsid w:val="00957FCD"/>
    <w:rsid w:val="0096099A"/>
    <w:rsid w:val="00960B82"/>
    <w:rsid w:val="00960EAB"/>
    <w:rsid w:val="00963159"/>
    <w:rsid w:val="00963C92"/>
    <w:rsid w:val="00963FFE"/>
    <w:rsid w:val="009644D6"/>
    <w:rsid w:val="0096542B"/>
    <w:rsid w:val="009658A4"/>
    <w:rsid w:val="00966AA1"/>
    <w:rsid w:val="0096737C"/>
    <w:rsid w:val="00970E89"/>
    <w:rsid w:val="00971463"/>
    <w:rsid w:val="00971D8D"/>
    <w:rsid w:val="00971DE8"/>
    <w:rsid w:val="009727D4"/>
    <w:rsid w:val="0097311E"/>
    <w:rsid w:val="0097333B"/>
    <w:rsid w:val="0097471A"/>
    <w:rsid w:val="0097472B"/>
    <w:rsid w:val="009748AB"/>
    <w:rsid w:val="00974B21"/>
    <w:rsid w:val="0097593F"/>
    <w:rsid w:val="00975DA0"/>
    <w:rsid w:val="00977835"/>
    <w:rsid w:val="00980B1D"/>
    <w:rsid w:val="00980BBC"/>
    <w:rsid w:val="00980D4F"/>
    <w:rsid w:val="00981209"/>
    <w:rsid w:val="00981EC7"/>
    <w:rsid w:val="00982753"/>
    <w:rsid w:val="00982A52"/>
    <w:rsid w:val="00982CB1"/>
    <w:rsid w:val="00982DF6"/>
    <w:rsid w:val="00983A8F"/>
    <w:rsid w:val="00983D0C"/>
    <w:rsid w:val="00984057"/>
    <w:rsid w:val="009855BE"/>
    <w:rsid w:val="00985692"/>
    <w:rsid w:val="00985C70"/>
    <w:rsid w:val="00985F6A"/>
    <w:rsid w:val="0098645F"/>
    <w:rsid w:val="00987675"/>
    <w:rsid w:val="009921DE"/>
    <w:rsid w:val="0099294E"/>
    <w:rsid w:val="00993235"/>
    <w:rsid w:val="0099378D"/>
    <w:rsid w:val="009938C9"/>
    <w:rsid w:val="00993D31"/>
    <w:rsid w:val="009941EF"/>
    <w:rsid w:val="009953F6"/>
    <w:rsid w:val="009957CD"/>
    <w:rsid w:val="00995C0F"/>
    <w:rsid w:val="009972E2"/>
    <w:rsid w:val="009977D1"/>
    <w:rsid w:val="00997F06"/>
    <w:rsid w:val="00997F3C"/>
    <w:rsid w:val="009A0994"/>
    <w:rsid w:val="009A0CDC"/>
    <w:rsid w:val="009A13A2"/>
    <w:rsid w:val="009A1C1D"/>
    <w:rsid w:val="009A3015"/>
    <w:rsid w:val="009A4E91"/>
    <w:rsid w:val="009A57AB"/>
    <w:rsid w:val="009A57B1"/>
    <w:rsid w:val="009A6246"/>
    <w:rsid w:val="009A6E83"/>
    <w:rsid w:val="009A7DB6"/>
    <w:rsid w:val="009B052E"/>
    <w:rsid w:val="009B0B65"/>
    <w:rsid w:val="009B1250"/>
    <w:rsid w:val="009B1CAC"/>
    <w:rsid w:val="009B2311"/>
    <w:rsid w:val="009B2D7E"/>
    <w:rsid w:val="009B37CC"/>
    <w:rsid w:val="009B4059"/>
    <w:rsid w:val="009B4074"/>
    <w:rsid w:val="009B4DDA"/>
    <w:rsid w:val="009B5289"/>
    <w:rsid w:val="009B651E"/>
    <w:rsid w:val="009B6B92"/>
    <w:rsid w:val="009C128E"/>
    <w:rsid w:val="009C21BE"/>
    <w:rsid w:val="009C29FD"/>
    <w:rsid w:val="009C398C"/>
    <w:rsid w:val="009C3AEE"/>
    <w:rsid w:val="009C4CCB"/>
    <w:rsid w:val="009C51C6"/>
    <w:rsid w:val="009C5DA8"/>
    <w:rsid w:val="009C64C7"/>
    <w:rsid w:val="009C67BC"/>
    <w:rsid w:val="009C6AD5"/>
    <w:rsid w:val="009C6F9B"/>
    <w:rsid w:val="009C718B"/>
    <w:rsid w:val="009C7CAA"/>
    <w:rsid w:val="009D0AF8"/>
    <w:rsid w:val="009D11ED"/>
    <w:rsid w:val="009D13FD"/>
    <w:rsid w:val="009D15B4"/>
    <w:rsid w:val="009D1AEF"/>
    <w:rsid w:val="009D2B92"/>
    <w:rsid w:val="009D2BDD"/>
    <w:rsid w:val="009D2CC8"/>
    <w:rsid w:val="009D2E58"/>
    <w:rsid w:val="009D35A1"/>
    <w:rsid w:val="009D35D4"/>
    <w:rsid w:val="009D3C31"/>
    <w:rsid w:val="009D4EBE"/>
    <w:rsid w:val="009D5159"/>
    <w:rsid w:val="009D5E5D"/>
    <w:rsid w:val="009D5F54"/>
    <w:rsid w:val="009D611D"/>
    <w:rsid w:val="009D6539"/>
    <w:rsid w:val="009D6F91"/>
    <w:rsid w:val="009E0D61"/>
    <w:rsid w:val="009E108A"/>
    <w:rsid w:val="009E282F"/>
    <w:rsid w:val="009E31FF"/>
    <w:rsid w:val="009E3327"/>
    <w:rsid w:val="009E3568"/>
    <w:rsid w:val="009E3935"/>
    <w:rsid w:val="009E3F5F"/>
    <w:rsid w:val="009E477C"/>
    <w:rsid w:val="009E5D20"/>
    <w:rsid w:val="009E6698"/>
    <w:rsid w:val="009E6A50"/>
    <w:rsid w:val="009E6C6C"/>
    <w:rsid w:val="009E71C3"/>
    <w:rsid w:val="009E736E"/>
    <w:rsid w:val="009E7762"/>
    <w:rsid w:val="009F0058"/>
    <w:rsid w:val="009F00E4"/>
    <w:rsid w:val="009F02F3"/>
    <w:rsid w:val="009F032F"/>
    <w:rsid w:val="009F035B"/>
    <w:rsid w:val="009F08AC"/>
    <w:rsid w:val="009F1624"/>
    <w:rsid w:val="009F1A0B"/>
    <w:rsid w:val="009F32C4"/>
    <w:rsid w:val="009F4567"/>
    <w:rsid w:val="009F5A3A"/>
    <w:rsid w:val="009F6B62"/>
    <w:rsid w:val="009F6FFB"/>
    <w:rsid w:val="009F7D37"/>
    <w:rsid w:val="00A004FF"/>
    <w:rsid w:val="00A00DD8"/>
    <w:rsid w:val="00A02F93"/>
    <w:rsid w:val="00A03C46"/>
    <w:rsid w:val="00A044B2"/>
    <w:rsid w:val="00A04B2B"/>
    <w:rsid w:val="00A051FF"/>
    <w:rsid w:val="00A05D1C"/>
    <w:rsid w:val="00A05FAA"/>
    <w:rsid w:val="00A07810"/>
    <w:rsid w:val="00A07BCD"/>
    <w:rsid w:val="00A07C46"/>
    <w:rsid w:val="00A10EF4"/>
    <w:rsid w:val="00A110B8"/>
    <w:rsid w:val="00A117AA"/>
    <w:rsid w:val="00A12623"/>
    <w:rsid w:val="00A13413"/>
    <w:rsid w:val="00A13929"/>
    <w:rsid w:val="00A139E6"/>
    <w:rsid w:val="00A13C0A"/>
    <w:rsid w:val="00A15902"/>
    <w:rsid w:val="00A16389"/>
    <w:rsid w:val="00A20977"/>
    <w:rsid w:val="00A20CC1"/>
    <w:rsid w:val="00A20CEE"/>
    <w:rsid w:val="00A21672"/>
    <w:rsid w:val="00A225F6"/>
    <w:rsid w:val="00A22B36"/>
    <w:rsid w:val="00A232B8"/>
    <w:rsid w:val="00A2363D"/>
    <w:rsid w:val="00A239D9"/>
    <w:rsid w:val="00A23DCC"/>
    <w:rsid w:val="00A244A8"/>
    <w:rsid w:val="00A2471A"/>
    <w:rsid w:val="00A247DA"/>
    <w:rsid w:val="00A24FF8"/>
    <w:rsid w:val="00A2654A"/>
    <w:rsid w:val="00A26ECE"/>
    <w:rsid w:val="00A275B0"/>
    <w:rsid w:val="00A30146"/>
    <w:rsid w:val="00A306A5"/>
    <w:rsid w:val="00A30F63"/>
    <w:rsid w:val="00A31EBA"/>
    <w:rsid w:val="00A32035"/>
    <w:rsid w:val="00A32214"/>
    <w:rsid w:val="00A33152"/>
    <w:rsid w:val="00A33AA5"/>
    <w:rsid w:val="00A348FA"/>
    <w:rsid w:val="00A356E7"/>
    <w:rsid w:val="00A359B1"/>
    <w:rsid w:val="00A364EF"/>
    <w:rsid w:val="00A36671"/>
    <w:rsid w:val="00A371FF"/>
    <w:rsid w:val="00A3746B"/>
    <w:rsid w:val="00A406E4"/>
    <w:rsid w:val="00A40747"/>
    <w:rsid w:val="00A40F84"/>
    <w:rsid w:val="00A41EC5"/>
    <w:rsid w:val="00A424CF"/>
    <w:rsid w:val="00A433E6"/>
    <w:rsid w:val="00A43F92"/>
    <w:rsid w:val="00A445C2"/>
    <w:rsid w:val="00A44621"/>
    <w:rsid w:val="00A44746"/>
    <w:rsid w:val="00A44841"/>
    <w:rsid w:val="00A44E91"/>
    <w:rsid w:val="00A45436"/>
    <w:rsid w:val="00A456B8"/>
    <w:rsid w:val="00A45D6B"/>
    <w:rsid w:val="00A50965"/>
    <w:rsid w:val="00A51D17"/>
    <w:rsid w:val="00A52408"/>
    <w:rsid w:val="00A525E6"/>
    <w:rsid w:val="00A52EB8"/>
    <w:rsid w:val="00A52F7C"/>
    <w:rsid w:val="00A5357E"/>
    <w:rsid w:val="00A55D00"/>
    <w:rsid w:val="00A55E10"/>
    <w:rsid w:val="00A563C7"/>
    <w:rsid w:val="00A563D1"/>
    <w:rsid w:val="00A5655A"/>
    <w:rsid w:val="00A56735"/>
    <w:rsid w:val="00A624CF"/>
    <w:rsid w:val="00A62854"/>
    <w:rsid w:val="00A648F4"/>
    <w:rsid w:val="00A64C13"/>
    <w:rsid w:val="00A64F25"/>
    <w:rsid w:val="00A65950"/>
    <w:rsid w:val="00A65E73"/>
    <w:rsid w:val="00A66202"/>
    <w:rsid w:val="00A66219"/>
    <w:rsid w:val="00A66326"/>
    <w:rsid w:val="00A66B4B"/>
    <w:rsid w:val="00A673EC"/>
    <w:rsid w:val="00A7011C"/>
    <w:rsid w:val="00A702AB"/>
    <w:rsid w:val="00A70E2C"/>
    <w:rsid w:val="00A71653"/>
    <w:rsid w:val="00A716AE"/>
    <w:rsid w:val="00A7175E"/>
    <w:rsid w:val="00A71F0D"/>
    <w:rsid w:val="00A7284A"/>
    <w:rsid w:val="00A72917"/>
    <w:rsid w:val="00A72EB9"/>
    <w:rsid w:val="00A735BE"/>
    <w:rsid w:val="00A73DD1"/>
    <w:rsid w:val="00A7468A"/>
    <w:rsid w:val="00A75A5D"/>
    <w:rsid w:val="00A76042"/>
    <w:rsid w:val="00A760E3"/>
    <w:rsid w:val="00A76248"/>
    <w:rsid w:val="00A76780"/>
    <w:rsid w:val="00A77A5D"/>
    <w:rsid w:val="00A77BD4"/>
    <w:rsid w:val="00A77BDE"/>
    <w:rsid w:val="00A77C28"/>
    <w:rsid w:val="00A812DA"/>
    <w:rsid w:val="00A82125"/>
    <w:rsid w:val="00A832AB"/>
    <w:rsid w:val="00A8360C"/>
    <w:rsid w:val="00A83A5B"/>
    <w:rsid w:val="00A8459F"/>
    <w:rsid w:val="00A84D27"/>
    <w:rsid w:val="00A85470"/>
    <w:rsid w:val="00A8571B"/>
    <w:rsid w:val="00A857CA"/>
    <w:rsid w:val="00A85BA6"/>
    <w:rsid w:val="00A8652D"/>
    <w:rsid w:val="00A8697B"/>
    <w:rsid w:val="00A86CF7"/>
    <w:rsid w:val="00A86D55"/>
    <w:rsid w:val="00A87D06"/>
    <w:rsid w:val="00A87D0E"/>
    <w:rsid w:val="00A909F1"/>
    <w:rsid w:val="00A9159D"/>
    <w:rsid w:val="00A925E9"/>
    <w:rsid w:val="00A95058"/>
    <w:rsid w:val="00A95571"/>
    <w:rsid w:val="00A9581E"/>
    <w:rsid w:val="00A958FC"/>
    <w:rsid w:val="00A95E82"/>
    <w:rsid w:val="00A96736"/>
    <w:rsid w:val="00A967D9"/>
    <w:rsid w:val="00A96E94"/>
    <w:rsid w:val="00A96F3A"/>
    <w:rsid w:val="00A97851"/>
    <w:rsid w:val="00A97AF0"/>
    <w:rsid w:val="00AA0413"/>
    <w:rsid w:val="00AA15D9"/>
    <w:rsid w:val="00AA22BB"/>
    <w:rsid w:val="00AA2975"/>
    <w:rsid w:val="00AA2E72"/>
    <w:rsid w:val="00AA2EF9"/>
    <w:rsid w:val="00AA3736"/>
    <w:rsid w:val="00AA38FF"/>
    <w:rsid w:val="00AA3E86"/>
    <w:rsid w:val="00AA4879"/>
    <w:rsid w:val="00AA4E9F"/>
    <w:rsid w:val="00AA5105"/>
    <w:rsid w:val="00AA5654"/>
    <w:rsid w:val="00AA5B99"/>
    <w:rsid w:val="00AB05B3"/>
    <w:rsid w:val="00AB0B37"/>
    <w:rsid w:val="00AB1155"/>
    <w:rsid w:val="00AB188A"/>
    <w:rsid w:val="00AB1C0D"/>
    <w:rsid w:val="00AB1C38"/>
    <w:rsid w:val="00AB2A2A"/>
    <w:rsid w:val="00AB2DCE"/>
    <w:rsid w:val="00AB3E3F"/>
    <w:rsid w:val="00AB3EC5"/>
    <w:rsid w:val="00AB43FE"/>
    <w:rsid w:val="00AB50FD"/>
    <w:rsid w:val="00AB511D"/>
    <w:rsid w:val="00AB55F3"/>
    <w:rsid w:val="00AB5673"/>
    <w:rsid w:val="00AB6178"/>
    <w:rsid w:val="00AB69D2"/>
    <w:rsid w:val="00AB6E21"/>
    <w:rsid w:val="00AB7305"/>
    <w:rsid w:val="00AB7647"/>
    <w:rsid w:val="00AC0A20"/>
    <w:rsid w:val="00AC0C63"/>
    <w:rsid w:val="00AC55AC"/>
    <w:rsid w:val="00AC5619"/>
    <w:rsid w:val="00AC5681"/>
    <w:rsid w:val="00AC66CC"/>
    <w:rsid w:val="00AC6790"/>
    <w:rsid w:val="00AC7A3A"/>
    <w:rsid w:val="00AC7C4E"/>
    <w:rsid w:val="00AC7E7D"/>
    <w:rsid w:val="00AD0939"/>
    <w:rsid w:val="00AD1052"/>
    <w:rsid w:val="00AD3612"/>
    <w:rsid w:val="00AD36CC"/>
    <w:rsid w:val="00AD3832"/>
    <w:rsid w:val="00AD4A40"/>
    <w:rsid w:val="00AD4E23"/>
    <w:rsid w:val="00AD5DA1"/>
    <w:rsid w:val="00AD5E08"/>
    <w:rsid w:val="00AD6A30"/>
    <w:rsid w:val="00AD7216"/>
    <w:rsid w:val="00AD7542"/>
    <w:rsid w:val="00AD77EA"/>
    <w:rsid w:val="00AE08DA"/>
    <w:rsid w:val="00AE0C65"/>
    <w:rsid w:val="00AE0F8A"/>
    <w:rsid w:val="00AE1858"/>
    <w:rsid w:val="00AE1D3E"/>
    <w:rsid w:val="00AE38A6"/>
    <w:rsid w:val="00AE3E4C"/>
    <w:rsid w:val="00AE4737"/>
    <w:rsid w:val="00AE53A1"/>
    <w:rsid w:val="00AE56E2"/>
    <w:rsid w:val="00AE76E1"/>
    <w:rsid w:val="00AE79F6"/>
    <w:rsid w:val="00AE7ED6"/>
    <w:rsid w:val="00AE7F57"/>
    <w:rsid w:val="00AE7F78"/>
    <w:rsid w:val="00AF020E"/>
    <w:rsid w:val="00AF0473"/>
    <w:rsid w:val="00AF0E05"/>
    <w:rsid w:val="00AF1351"/>
    <w:rsid w:val="00AF1D5F"/>
    <w:rsid w:val="00AF1FE0"/>
    <w:rsid w:val="00AF240E"/>
    <w:rsid w:val="00AF2C15"/>
    <w:rsid w:val="00AF2D55"/>
    <w:rsid w:val="00AF2FC1"/>
    <w:rsid w:val="00AF306F"/>
    <w:rsid w:val="00AF3701"/>
    <w:rsid w:val="00AF391E"/>
    <w:rsid w:val="00AF3920"/>
    <w:rsid w:val="00AF424C"/>
    <w:rsid w:val="00AF4A8C"/>
    <w:rsid w:val="00AF525C"/>
    <w:rsid w:val="00AF7512"/>
    <w:rsid w:val="00AF78CC"/>
    <w:rsid w:val="00AF7BEF"/>
    <w:rsid w:val="00AF7E71"/>
    <w:rsid w:val="00B02722"/>
    <w:rsid w:val="00B0288F"/>
    <w:rsid w:val="00B02B5E"/>
    <w:rsid w:val="00B02D70"/>
    <w:rsid w:val="00B05EBF"/>
    <w:rsid w:val="00B07768"/>
    <w:rsid w:val="00B102E9"/>
    <w:rsid w:val="00B10520"/>
    <w:rsid w:val="00B105A7"/>
    <w:rsid w:val="00B10F42"/>
    <w:rsid w:val="00B132CD"/>
    <w:rsid w:val="00B14EDE"/>
    <w:rsid w:val="00B165C6"/>
    <w:rsid w:val="00B167AF"/>
    <w:rsid w:val="00B16A96"/>
    <w:rsid w:val="00B16CA2"/>
    <w:rsid w:val="00B170CC"/>
    <w:rsid w:val="00B1723C"/>
    <w:rsid w:val="00B20143"/>
    <w:rsid w:val="00B203E4"/>
    <w:rsid w:val="00B20485"/>
    <w:rsid w:val="00B20B7D"/>
    <w:rsid w:val="00B20FB4"/>
    <w:rsid w:val="00B2335B"/>
    <w:rsid w:val="00B236D9"/>
    <w:rsid w:val="00B2422A"/>
    <w:rsid w:val="00B24E85"/>
    <w:rsid w:val="00B25318"/>
    <w:rsid w:val="00B2574E"/>
    <w:rsid w:val="00B25772"/>
    <w:rsid w:val="00B25F5C"/>
    <w:rsid w:val="00B260EE"/>
    <w:rsid w:val="00B267AB"/>
    <w:rsid w:val="00B31DCF"/>
    <w:rsid w:val="00B32777"/>
    <w:rsid w:val="00B341A2"/>
    <w:rsid w:val="00B3490C"/>
    <w:rsid w:val="00B34A62"/>
    <w:rsid w:val="00B35450"/>
    <w:rsid w:val="00B35FDF"/>
    <w:rsid w:val="00B37F56"/>
    <w:rsid w:val="00B4005D"/>
    <w:rsid w:val="00B413E5"/>
    <w:rsid w:val="00B417E3"/>
    <w:rsid w:val="00B419DD"/>
    <w:rsid w:val="00B42062"/>
    <w:rsid w:val="00B43452"/>
    <w:rsid w:val="00B43B88"/>
    <w:rsid w:val="00B44133"/>
    <w:rsid w:val="00B44987"/>
    <w:rsid w:val="00B44B65"/>
    <w:rsid w:val="00B44B78"/>
    <w:rsid w:val="00B44E31"/>
    <w:rsid w:val="00B465F2"/>
    <w:rsid w:val="00B47392"/>
    <w:rsid w:val="00B47BC5"/>
    <w:rsid w:val="00B51D6C"/>
    <w:rsid w:val="00B52439"/>
    <w:rsid w:val="00B524E5"/>
    <w:rsid w:val="00B52FD4"/>
    <w:rsid w:val="00B53838"/>
    <w:rsid w:val="00B53989"/>
    <w:rsid w:val="00B54049"/>
    <w:rsid w:val="00B55BB2"/>
    <w:rsid w:val="00B55CE5"/>
    <w:rsid w:val="00B55F10"/>
    <w:rsid w:val="00B5764C"/>
    <w:rsid w:val="00B61313"/>
    <w:rsid w:val="00B618B6"/>
    <w:rsid w:val="00B62E1F"/>
    <w:rsid w:val="00B643C1"/>
    <w:rsid w:val="00B6527C"/>
    <w:rsid w:val="00B6589B"/>
    <w:rsid w:val="00B66C9F"/>
    <w:rsid w:val="00B6720D"/>
    <w:rsid w:val="00B67E8A"/>
    <w:rsid w:val="00B67EA1"/>
    <w:rsid w:val="00B70B88"/>
    <w:rsid w:val="00B71781"/>
    <w:rsid w:val="00B71CF8"/>
    <w:rsid w:val="00B724DC"/>
    <w:rsid w:val="00B73DD0"/>
    <w:rsid w:val="00B73EDB"/>
    <w:rsid w:val="00B74A86"/>
    <w:rsid w:val="00B74D22"/>
    <w:rsid w:val="00B75036"/>
    <w:rsid w:val="00B75974"/>
    <w:rsid w:val="00B75A31"/>
    <w:rsid w:val="00B76910"/>
    <w:rsid w:val="00B76BDF"/>
    <w:rsid w:val="00B80CB9"/>
    <w:rsid w:val="00B80DFA"/>
    <w:rsid w:val="00B8134C"/>
    <w:rsid w:val="00B81AD9"/>
    <w:rsid w:val="00B82354"/>
    <w:rsid w:val="00B85F3E"/>
    <w:rsid w:val="00B867DA"/>
    <w:rsid w:val="00B86DCC"/>
    <w:rsid w:val="00B87591"/>
    <w:rsid w:val="00B87611"/>
    <w:rsid w:val="00B8797E"/>
    <w:rsid w:val="00B87BFE"/>
    <w:rsid w:val="00B87D58"/>
    <w:rsid w:val="00B90B5C"/>
    <w:rsid w:val="00B91F99"/>
    <w:rsid w:val="00B9209F"/>
    <w:rsid w:val="00B92108"/>
    <w:rsid w:val="00B92716"/>
    <w:rsid w:val="00B931A3"/>
    <w:rsid w:val="00B93E2C"/>
    <w:rsid w:val="00B9416B"/>
    <w:rsid w:val="00B95461"/>
    <w:rsid w:val="00B95551"/>
    <w:rsid w:val="00B95971"/>
    <w:rsid w:val="00B95D3E"/>
    <w:rsid w:val="00B97374"/>
    <w:rsid w:val="00B97982"/>
    <w:rsid w:val="00B97EE2"/>
    <w:rsid w:val="00BA017C"/>
    <w:rsid w:val="00BA0890"/>
    <w:rsid w:val="00BA09D2"/>
    <w:rsid w:val="00BA1CCB"/>
    <w:rsid w:val="00BA1E97"/>
    <w:rsid w:val="00BA24FB"/>
    <w:rsid w:val="00BA2B1D"/>
    <w:rsid w:val="00BA31B8"/>
    <w:rsid w:val="00BA322F"/>
    <w:rsid w:val="00BA339E"/>
    <w:rsid w:val="00BA4596"/>
    <w:rsid w:val="00BA5AC2"/>
    <w:rsid w:val="00BA781E"/>
    <w:rsid w:val="00BB0DFF"/>
    <w:rsid w:val="00BB19E0"/>
    <w:rsid w:val="00BB19FC"/>
    <w:rsid w:val="00BB1E3D"/>
    <w:rsid w:val="00BB2340"/>
    <w:rsid w:val="00BB24C4"/>
    <w:rsid w:val="00BB2830"/>
    <w:rsid w:val="00BB3196"/>
    <w:rsid w:val="00BB3E70"/>
    <w:rsid w:val="00BB4F56"/>
    <w:rsid w:val="00BB7F52"/>
    <w:rsid w:val="00BC0009"/>
    <w:rsid w:val="00BC0A42"/>
    <w:rsid w:val="00BC0AF7"/>
    <w:rsid w:val="00BC2233"/>
    <w:rsid w:val="00BC25FE"/>
    <w:rsid w:val="00BC2763"/>
    <w:rsid w:val="00BC2885"/>
    <w:rsid w:val="00BC67DC"/>
    <w:rsid w:val="00BC7049"/>
    <w:rsid w:val="00BC717B"/>
    <w:rsid w:val="00BD0D9E"/>
    <w:rsid w:val="00BD0E05"/>
    <w:rsid w:val="00BD234E"/>
    <w:rsid w:val="00BD3182"/>
    <w:rsid w:val="00BD3225"/>
    <w:rsid w:val="00BD3338"/>
    <w:rsid w:val="00BD34C1"/>
    <w:rsid w:val="00BD369D"/>
    <w:rsid w:val="00BD36E9"/>
    <w:rsid w:val="00BD4B5A"/>
    <w:rsid w:val="00BD4CE9"/>
    <w:rsid w:val="00BD506C"/>
    <w:rsid w:val="00BD54AE"/>
    <w:rsid w:val="00BD55F2"/>
    <w:rsid w:val="00BD5967"/>
    <w:rsid w:val="00BD5D64"/>
    <w:rsid w:val="00BD6730"/>
    <w:rsid w:val="00BD6AA6"/>
    <w:rsid w:val="00BD7567"/>
    <w:rsid w:val="00BD7603"/>
    <w:rsid w:val="00BD7951"/>
    <w:rsid w:val="00BD7AD5"/>
    <w:rsid w:val="00BE185D"/>
    <w:rsid w:val="00BE22BC"/>
    <w:rsid w:val="00BE283A"/>
    <w:rsid w:val="00BE2F0B"/>
    <w:rsid w:val="00BE3678"/>
    <w:rsid w:val="00BE6382"/>
    <w:rsid w:val="00BE7474"/>
    <w:rsid w:val="00BE77AE"/>
    <w:rsid w:val="00BE7913"/>
    <w:rsid w:val="00BE7A9D"/>
    <w:rsid w:val="00BF0558"/>
    <w:rsid w:val="00BF07F4"/>
    <w:rsid w:val="00BF0ECC"/>
    <w:rsid w:val="00BF0F9F"/>
    <w:rsid w:val="00BF1CA9"/>
    <w:rsid w:val="00BF2250"/>
    <w:rsid w:val="00BF22C5"/>
    <w:rsid w:val="00BF2441"/>
    <w:rsid w:val="00BF24F6"/>
    <w:rsid w:val="00BF282C"/>
    <w:rsid w:val="00BF2843"/>
    <w:rsid w:val="00BF2A11"/>
    <w:rsid w:val="00BF2D06"/>
    <w:rsid w:val="00BF2D0C"/>
    <w:rsid w:val="00BF2D5A"/>
    <w:rsid w:val="00BF3801"/>
    <w:rsid w:val="00BF3EAB"/>
    <w:rsid w:val="00BF4968"/>
    <w:rsid w:val="00BF4A27"/>
    <w:rsid w:val="00BF50DE"/>
    <w:rsid w:val="00BF5330"/>
    <w:rsid w:val="00BF662D"/>
    <w:rsid w:val="00BF6799"/>
    <w:rsid w:val="00BF6AC0"/>
    <w:rsid w:val="00BF6E4C"/>
    <w:rsid w:val="00C001C8"/>
    <w:rsid w:val="00C008E6"/>
    <w:rsid w:val="00C01172"/>
    <w:rsid w:val="00C014EE"/>
    <w:rsid w:val="00C02F58"/>
    <w:rsid w:val="00C03F06"/>
    <w:rsid w:val="00C046D4"/>
    <w:rsid w:val="00C05246"/>
    <w:rsid w:val="00C05AF4"/>
    <w:rsid w:val="00C05E17"/>
    <w:rsid w:val="00C064F0"/>
    <w:rsid w:val="00C070CA"/>
    <w:rsid w:val="00C07DFA"/>
    <w:rsid w:val="00C10DE6"/>
    <w:rsid w:val="00C10E04"/>
    <w:rsid w:val="00C11ABC"/>
    <w:rsid w:val="00C12293"/>
    <w:rsid w:val="00C13663"/>
    <w:rsid w:val="00C13E37"/>
    <w:rsid w:val="00C14B93"/>
    <w:rsid w:val="00C1678F"/>
    <w:rsid w:val="00C20377"/>
    <w:rsid w:val="00C208C4"/>
    <w:rsid w:val="00C208D8"/>
    <w:rsid w:val="00C2254B"/>
    <w:rsid w:val="00C23238"/>
    <w:rsid w:val="00C25E3D"/>
    <w:rsid w:val="00C27019"/>
    <w:rsid w:val="00C27165"/>
    <w:rsid w:val="00C314A3"/>
    <w:rsid w:val="00C31BF3"/>
    <w:rsid w:val="00C31E19"/>
    <w:rsid w:val="00C31F41"/>
    <w:rsid w:val="00C32182"/>
    <w:rsid w:val="00C3445D"/>
    <w:rsid w:val="00C34576"/>
    <w:rsid w:val="00C35173"/>
    <w:rsid w:val="00C3640E"/>
    <w:rsid w:val="00C36C32"/>
    <w:rsid w:val="00C36D18"/>
    <w:rsid w:val="00C41CE8"/>
    <w:rsid w:val="00C43E43"/>
    <w:rsid w:val="00C44366"/>
    <w:rsid w:val="00C44F92"/>
    <w:rsid w:val="00C452BB"/>
    <w:rsid w:val="00C45CB7"/>
    <w:rsid w:val="00C46EF1"/>
    <w:rsid w:val="00C4743D"/>
    <w:rsid w:val="00C474E8"/>
    <w:rsid w:val="00C47C65"/>
    <w:rsid w:val="00C47FDD"/>
    <w:rsid w:val="00C50CD2"/>
    <w:rsid w:val="00C515A2"/>
    <w:rsid w:val="00C517F0"/>
    <w:rsid w:val="00C52F83"/>
    <w:rsid w:val="00C53BF0"/>
    <w:rsid w:val="00C53E15"/>
    <w:rsid w:val="00C55226"/>
    <w:rsid w:val="00C552E3"/>
    <w:rsid w:val="00C55441"/>
    <w:rsid w:val="00C5662D"/>
    <w:rsid w:val="00C56AE2"/>
    <w:rsid w:val="00C56C45"/>
    <w:rsid w:val="00C56F67"/>
    <w:rsid w:val="00C570A1"/>
    <w:rsid w:val="00C57ABB"/>
    <w:rsid w:val="00C60EFB"/>
    <w:rsid w:val="00C61718"/>
    <w:rsid w:val="00C624E1"/>
    <w:rsid w:val="00C635C7"/>
    <w:rsid w:val="00C6367E"/>
    <w:rsid w:val="00C6381D"/>
    <w:rsid w:val="00C64340"/>
    <w:rsid w:val="00C64A4A"/>
    <w:rsid w:val="00C64ED1"/>
    <w:rsid w:val="00C65378"/>
    <w:rsid w:val="00C6706F"/>
    <w:rsid w:val="00C67944"/>
    <w:rsid w:val="00C704F2"/>
    <w:rsid w:val="00C729A5"/>
    <w:rsid w:val="00C7327F"/>
    <w:rsid w:val="00C739A1"/>
    <w:rsid w:val="00C73AB0"/>
    <w:rsid w:val="00C741D2"/>
    <w:rsid w:val="00C74905"/>
    <w:rsid w:val="00C749F2"/>
    <w:rsid w:val="00C74B37"/>
    <w:rsid w:val="00C74B42"/>
    <w:rsid w:val="00C74E12"/>
    <w:rsid w:val="00C75D79"/>
    <w:rsid w:val="00C7623F"/>
    <w:rsid w:val="00C7649C"/>
    <w:rsid w:val="00C76A1F"/>
    <w:rsid w:val="00C770F0"/>
    <w:rsid w:val="00C77633"/>
    <w:rsid w:val="00C77E8A"/>
    <w:rsid w:val="00C8071B"/>
    <w:rsid w:val="00C80726"/>
    <w:rsid w:val="00C80754"/>
    <w:rsid w:val="00C80B52"/>
    <w:rsid w:val="00C80EAE"/>
    <w:rsid w:val="00C818BF"/>
    <w:rsid w:val="00C8270D"/>
    <w:rsid w:val="00C82F7C"/>
    <w:rsid w:val="00C83117"/>
    <w:rsid w:val="00C8426D"/>
    <w:rsid w:val="00C842E0"/>
    <w:rsid w:val="00C844B5"/>
    <w:rsid w:val="00C85790"/>
    <w:rsid w:val="00C8663B"/>
    <w:rsid w:val="00C86E6F"/>
    <w:rsid w:val="00C87527"/>
    <w:rsid w:val="00C87D19"/>
    <w:rsid w:val="00C91152"/>
    <w:rsid w:val="00C915C2"/>
    <w:rsid w:val="00C91D32"/>
    <w:rsid w:val="00C923AC"/>
    <w:rsid w:val="00C924F3"/>
    <w:rsid w:val="00C94237"/>
    <w:rsid w:val="00C947B4"/>
    <w:rsid w:val="00C948C2"/>
    <w:rsid w:val="00C94B27"/>
    <w:rsid w:val="00C94C7E"/>
    <w:rsid w:val="00C95569"/>
    <w:rsid w:val="00C95607"/>
    <w:rsid w:val="00C96320"/>
    <w:rsid w:val="00C96757"/>
    <w:rsid w:val="00C96D85"/>
    <w:rsid w:val="00C97A78"/>
    <w:rsid w:val="00C97C89"/>
    <w:rsid w:val="00C97C9E"/>
    <w:rsid w:val="00CA0E5C"/>
    <w:rsid w:val="00CA2DB6"/>
    <w:rsid w:val="00CA395E"/>
    <w:rsid w:val="00CA470A"/>
    <w:rsid w:val="00CA63C6"/>
    <w:rsid w:val="00CA66E7"/>
    <w:rsid w:val="00CA6833"/>
    <w:rsid w:val="00CA7368"/>
    <w:rsid w:val="00CA73F5"/>
    <w:rsid w:val="00CA7851"/>
    <w:rsid w:val="00CB135A"/>
    <w:rsid w:val="00CB14CE"/>
    <w:rsid w:val="00CB18DE"/>
    <w:rsid w:val="00CB1D69"/>
    <w:rsid w:val="00CB2890"/>
    <w:rsid w:val="00CB2A85"/>
    <w:rsid w:val="00CB31BA"/>
    <w:rsid w:val="00CB3EF3"/>
    <w:rsid w:val="00CB45F6"/>
    <w:rsid w:val="00CB4612"/>
    <w:rsid w:val="00CB4D71"/>
    <w:rsid w:val="00CB6054"/>
    <w:rsid w:val="00CB76DE"/>
    <w:rsid w:val="00CC1092"/>
    <w:rsid w:val="00CC1146"/>
    <w:rsid w:val="00CC1354"/>
    <w:rsid w:val="00CC280A"/>
    <w:rsid w:val="00CC2A75"/>
    <w:rsid w:val="00CC340C"/>
    <w:rsid w:val="00CC3781"/>
    <w:rsid w:val="00CC3A49"/>
    <w:rsid w:val="00CC3AD0"/>
    <w:rsid w:val="00CC400F"/>
    <w:rsid w:val="00CC4179"/>
    <w:rsid w:val="00CC4372"/>
    <w:rsid w:val="00CC5196"/>
    <w:rsid w:val="00CC6A5F"/>
    <w:rsid w:val="00CC6B15"/>
    <w:rsid w:val="00CC7AE7"/>
    <w:rsid w:val="00CC7B66"/>
    <w:rsid w:val="00CC7CCF"/>
    <w:rsid w:val="00CD0B78"/>
    <w:rsid w:val="00CD2461"/>
    <w:rsid w:val="00CD2677"/>
    <w:rsid w:val="00CD32A7"/>
    <w:rsid w:val="00CD44B4"/>
    <w:rsid w:val="00CD47A9"/>
    <w:rsid w:val="00CD51F9"/>
    <w:rsid w:val="00CD557E"/>
    <w:rsid w:val="00CD5847"/>
    <w:rsid w:val="00CD78C7"/>
    <w:rsid w:val="00CE0126"/>
    <w:rsid w:val="00CE02D7"/>
    <w:rsid w:val="00CE3CEB"/>
    <w:rsid w:val="00CE42AF"/>
    <w:rsid w:val="00CE4438"/>
    <w:rsid w:val="00CE6106"/>
    <w:rsid w:val="00CE64CB"/>
    <w:rsid w:val="00CE6653"/>
    <w:rsid w:val="00CE6F70"/>
    <w:rsid w:val="00CE6FCF"/>
    <w:rsid w:val="00CF002F"/>
    <w:rsid w:val="00CF0FBB"/>
    <w:rsid w:val="00CF183B"/>
    <w:rsid w:val="00CF1AB6"/>
    <w:rsid w:val="00CF1F52"/>
    <w:rsid w:val="00CF2273"/>
    <w:rsid w:val="00CF3EE6"/>
    <w:rsid w:val="00CF4776"/>
    <w:rsid w:val="00CF5117"/>
    <w:rsid w:val="00CF5EA0"/>
    <w:rsid w:val="00CF5F40"/>
    <w:rsid w:val="00CF65F2"/>
    <w:rsid w:val="00CF6D4E"/>
    <w:rsid w:val="00D01387"/>
    <w:rsid w:val="00D01AF0"/>
    <w:rsid w:val="00D01C0D"/>
    <w:rsid w:val="00D02159"/>
    <w:rsid w:val="00D02570"/>
    <w:rsid w:val="00D03155"/>
    <w:rsid w:val="00D0529E"/>
    <w:rsid w:val="00D052B9"/>
    <w:rsid w:val="00D05C92"/>
    <w:rsid w:val="00D068C1"/>
    <w:rsid w:val="00D07DAC"/>
    <w:rsid w:val="00D07E32"/>
    <w:rsid w:val="00D10078"/>
    <w:rsid w:val="00D10DC1"/>
    <w:rsid w:val="00D118E6"/>
    <w:rsid w:val="00D12EA4"/>
    <w:rsid w:val="00D133F4"/>
    <w:rsid w:val="00D13720"/>
    <w:rsid w:val="00D14436"/>
    <w:rsid w:val="00D14D3E"/>
    <w:rsid w:val="00D1615B"/>
    <w:rsid w:val="00D1665B"/>
    <w:rsid w:val="00D16AD5"/>
    <w:rsid w:val="00D17AB5"/>
    <w:rsid w:val="00D20304"/>
    <w:rsid w:val="00D20A1E"/>
    <w:rsid w:val="00D210F8"/>
    <w:rsid w:val="00D22C9C"/>
    <w:rsid w:val="00D23E77"/>
    <w:rsid w:val="00D23FF9"/>
    <w:rsid w:val="00D241D0"/>
    <w:rsid w:val="00D2474B"/>
    <w:rsid w:val="00D25158"/>
    <w:rsid w:val="00D2571F"/>
    <w:rsid w:val="00D26193"/>
    <w:rsid w:val="00D2625A"/>
    <w:rsid w:val="00D26C87"/>
    <w:rsid w:val="00D27FC1"/>
    <w:rsid w:val="00D3031B"/>
    <w:rsid w:val="00D3053A"/>
    <w:rsid w:val="00D307D5"/>
    <w:rsid w:val="00D315F6"/>
    <w:rsid w:val="00D31B2E"/>
    <w:rsid w:val="00D31D19"/>
    <w:rsid w:val="00D32179"/>
    <w:rsid w:val="00D323BB"/>
    <w:rsid w:val="00D32FA1"/>
    <w:rsid w:val="00D34679"/>
    <w:rsid w:val="00D34EA7"/>
    <w:rsid w:val="00D35097"/>
    <w:rsid w:val="00D35847"/>
    <w:rsid w:val="00D35BF0"/>
    <w:rsid w:val="00D402A1"/>
    <w:rsid w:val="00D406EA"/>
    <w:rsid w:val="00D41236"/>
    <w:rsid w:val="00D414F4"/>
    <w:rsid w:val="00D42275"/>
    <w:rsid w:val="00D42B2F"/>
    <w:rsid w:val="00D434F8"/>
    <w:rsid w:val="00D4381A"/>
    <w:rsid w:val="00D43A36"/>
    <w:rsid w:val="00D43B2F"/>
    <w:rsid w:val="00D44AF4"/>
    <w:rsid w:val="00D454A5"/>
    <w:rsid w:val="00D45C75"/>
    <w:rsid w:val="00D47476"/>
    <w:rsid w:val="00D4763B"/>
    <w:rsid w:val="00D47DFE"/>
    <w:rsid w:val="00D51455"/>
    <w:rsid w:val="00D5329A"/>
    <w:rsid w:val="00D545D5"/>
    <w:rsid w:val="00D5535A"/>
    <w:rsid w:val="00D55E78"/>
    <w:rsid w:val="00D55EB7"/>
    <w:rsid w:val="00D57208"/>
    <w:rsid w:val="00D5785F"/>
    <w:rsid w:val="00D60E93"/>
    <w:rsid w:val="00D60F4A"/>
    <w:rsid w:val="00D60F6C"/>
    <w:rsid w:val="00D611AA"/>
    <w:rsid w:val="00D61B21"/>
    <w:rsid w:val="00D625FB"/>
    <w:rsid w:val="00D62771"/>
    <w:rsid w:val="00D628EE"/>
    <w:rsid w:val="00D63083"/>
    <w:rsid w:val="00D637F0"/>
    <w:rsid w:val="00D63B38"/>
    <w:rsid w:val="00D640AA"/>
    <w:rsid w:val="00D64264"/>
    <w:rsid w:val="00D6484B"/>
    <w:rsid w:val="00D64BD3"/>
    <w:rsid w:val="00D64E92"/>
    <w:rsid w:val="00D65D0D"/>
    <w:rsid w:val="00D6605F"/>
    <w:rsid w:val="00D66446"/>
    <w:rsid w:val="00D667CF"/>
    <w:rsid w:val="00D669D2"/>
    <w:rsid w:val="00D66DE4"/>
    <w:rsid w:val="00D6740E"/>
    <w:rsid w:val="00D67907"/>
    <w:rsid w:val="00D67C3A"/>
    <w:rsid w:val="00D71396"/>
    <w:rsid w:val="00D719AA"/>
    <w:rsid w:val="00D72286"/>
    <w:rsid w:val="00D72318"/>
    <w:rsid w:val="00D7268E"/>
    <w:rsid w:val="00D728B5"/>
    <w:rsid w:val="00D749F3"/>
    <w:rsid w:val="00D755FD"/>
    <w:rsid w:val="00D75B18"/>
    <w:rsid w:val="00D776A3"/>
    <w:rsid w:val="00D77D2D"/>
    <w:rsid w:val="00D77FF7"/>
    <w:rsid w:val="00D80264"/>
    <w:rsid w:val="00D803B3"/>
    <w:rsid w:val="00D8041E"/>
    <w:rsid w:val="00D834BA"/>
    <w:rsid w:val="00D83B51"/>
    <w:rsid w:val="00D84ACA"/>
    <w:rsid w:val="00D867D0"/>
    <w:rsid w:val="00D86FD4"/>
    <w:rsid w:val="00D87AEF"/>
    <w:rsid w:val="00D87CF2"/>
    <w:rsid w:val="00D901C6"/>
    <w:rsid w:val="00D9041E"/>
    <w:rsid w:val="00D90C47"/>
    <w:rsid w:val="00D90DDD"/>
    <w:rsid w:val="00D91753"/>
    <w:rsid w:val="00D9263A"/>
    <w:rsid w:val="00D926E9"/>
    <w:rsid w:val="00D92C24"/>
    <w:rsid w:val="00D92DC8"/>
    <w:rsid w:val="00D944A3"/>
    <w:rsid w:val="00D948AB"/>
    <w:rsid w:val="00D94E56"/>
    <w:rsid w:val="00D95725"/>
    <w:rsid w:val="00D9601A"/>
    <w:rsid w:val="00D965E9"/>
    <w:rsid w:val="00D967E2"/>
    <w:rsid w:val="00D96BFF"/>
    <w:rsid w:val="00D96D3C"/>
    <w:rsid w:val="00D975DA"/>
    <w:rsid w:val="00D9797C"/>
    <w:rsid w:val="00D97D03"/>
    <w:rsid w:val="00D97FE5"/>
    <w:rsid w:val="00DA1058"/>
    <w:rsid w:val="00DA2117"/>
    <w:rsid w:val="00DA22C2"/>
    <w:rsid w:val="00DA2B03"/>
    <w:rsid w:val="00DA41B3"/>
    <w:rsid w:val="00DA45FD"/>
    <w:rsid w:val="00DA59D2"/>
    <w:rsid w:val="00DA5A03"/>
    <w:rsid w:val="00DA5DB6"/>
    <w:rsid w:val="00DB0E34"/>
    <w:rsid w:val="00DB1A5C"/>
    <w:rsid w:val="00DB1D79"/>
    <w:rsid w:val="00DB1F40"/>
    <w:rsid w:val="00DB221B"/>
    <w:rsid w:val="00DB2753"/>
    <w:rsid w:val="00DB2912"/>
    <w:rsid w:val="00DB5376"/>
    <w:rsid w:val="00DB76CB"/>
    <w:rsid w:val="00DC03AA"/>
    <w:rsid w:val="00DC03D7"/>
    <w:rsid w:val="00DC0538"/>
    <w:rsid w:val="00DC0DFC"/>
    <w:rsid w:val="00DC2082"/>
    <w:rsid w:val="00DC2474"/>
    <w:rsid w:val="00DC37F9"/>
    <w:rsid w:val="00DC7405"/>
    <w:rsid w:val="00DC7F86"/>
    <w:rsid w:val="00DD0E7B"/>
    <w:rsid w:val="00DD1148"/>
    <w:rsid w:val="00DD22C2"/>
    <w:rsid w:val="00DD2678"/>
    <w:rsid w:val="00DD322B"/>
    <w:rsid w:val="00DD32B8"/>
    <w:rsid w:val="00DD33E7"/>
    <w:rsid w:val="00DD3921"/>
    <w:rsid w:val="00DD4D4D"/>
    <w:rsid w:val="00DD5118"/>
    <w:rsid w:val="00DD5829"/>
    <w:rsid w:val="00DD6252"/>
    <w:rsid w:val="00DD6555"/>
    <w:rsid w:val="00DD67AA"/>
    <w:rsid w:val="00DD6BB2"/>
    <w:rsid w:val="00DD78A4"/>
    <w:rsid w:val="00DD7CBE"/>
    <w:rsid w:val="00DD7EC0"/>
    <w:rsid w:val="00DE1715"/>
    <w:rsid w:val="00DE201C"/>
    <w:rsid w:val="00DE254A"/>
    <w:rsid w:val="00DE2924"/>
    <w:rsid w:val="00DE31DA"/>
    <w:rsid w:val="00DE51EC"/>
    <w:rsid w:val="00DE5396"/>
    <w:rsid w:val="00DE5A83"/>
    <w:rsid w:val="00DE5DAE"/>
    <w:rsid w:val="00DE6666"/>
    <w:rsid w:val="00DE6A05"/>
    <w:rsid w:val="00DE7BE5"/>
    <w:rsid w:val="00DF01C0"/>
    <w:rsid w:val="00DF025C"/>
    <w:rsid w:val="00DF0260"/>
    <w:rsid w:val="00DF062F"/>
    <w:rsid w:val="00DF078B"/>
    <w:rsid w:val="00DF099F"/>
    <w:rsid w:val="00DF2138"/>
    <w:rsid w:val="00DF26F3"/>
    <w:rsid w:val="00DF2D64"/>
    <w:rsid w:val="00DF2DE8"/>
    <w:rsid w:val="00DF41CB"/>
    <w:rsid w:val="00DF5153"/>
    <w:rsid w:val="00DF585F"/>
    <w:rsid w:val="00DF5C3B"/>
    <w:rsid w:val="00DF5CDD"/>
    <w:rsid w:val="00DF5CDE"/>
    <w:rsid w:val="00DF5F12"/>
    <w:rsid w:val="00DF6808"/>
    <w:rsid w:val="00DF772B"/>
    <w:rsid w:val="00E00936"/>
    <w:rsid w:val="00E015A6"/>
    <w:rsid w:val="00E01B0C"/>
    <w:rsid w:val="00E01FFC"/>
    <w:rsid w:val="00E02051"/>
    <w:rsid w:val="00E02D6C"/>
    <w:rsid w:val="00E02E4F"/>
    <w:rsid w:val="00E03C98"/>
    <w:rsid w:val="00E041BE"/>
    <w:rsid w:val="00E04DDC"/>
    <w:rsid w:val="00E05C71"/>
    <w:rsid w:val="00E060AB"/>
    <w:rsid w:val="00E06A55"/>
    <w:rsid w:val="00E06DE6"/>
    <w:rsid w:val="00E0725E"/>
    <w:rsid w:val="00E11628"/>
    <w:rsid w:val="00E12176"/>
    <w:rsid w:val="00E1264E"/>
    <w:rsid w:val="00E12BC5"/>
    <w:rsid w:val="00E12D83"/>
    <w:rsid w:val="00E14002"/>
    <w:rsid w:val="00E150BF"/>
    <w:rsid w:val="00E15122"/>
    <w:rsid w:val="00E1597C"/>
    <w:rsid w:val="00E163A3"/>
    <w:rsid w:val="00E16DCC"/>
    <w:rsid w:val="00E16EB3"/>
    <w:rsid w:val="00E174EB"/>
    <w:rsid w:val="00E1776B"/>
    <w:rsid w:val="00E2002D"/>
    <w:rsid w:val="00E20BDF"/>
    <w:rsid w:val="00E21BAF"/>
    <w:rsid w:val="00E2214B"/>
    <w:rsid w:val="00E22192"/>
    <w:rsid w:val="00E2343B"/>
    <w:rsid w:val="00E2472E"/>
    <w:rsid w:val="00E27209"/>
    <w:rsid w:val="00E27339"/>
    <w:rsid w:val="00E27E05"/>
    <w:rsid w:val="00E30993"/>
    <w:rsid w:val="00E31A20"/>
    <w:rsid w:val="00E31C04"/>
    <w:rsid w:val="00E32606"/>
    <w:rsid w:val="00E332DD"/>
    <w:rsid w:val="00E3331B"/>
    <w:rsid w:val="00E33B1F"/>
    <w:rsid w:val="00E34320"/>
    <w:rsid w:val="00E34900"/>
    <w:rsid w:val="00E34FC6"/>
    <w:rsid w:val="00E371B0"/>
    <w:rsid w:val="00E37503"/>
    <w:rsid w:val="00E3775A"/>
    <w:rsid w:val="00E37A2A"/>
    <w:rsid w:val="00E401ED"/>
    <w:rsid w:val="00E407F3"/>
    <w:rsid w:val="00E40A36"/>
    <w:rsid w:val="00E40DCB"/>
    <w:rsid w:val="00E40E3F"/>
    <w:rsid w:val="00E423CA"/>
    <w:rsid w:val="00E42534"/>
    <w:rsid w:val="00E42DD7"/>
    <w:rsid w:val="00E436BD"/>
    <w:rsid w:val="00E44176"/>
    <w:rsid w:val="00E4563E"/>
    <w:rsid w:val="00E47B3C"/>
    <w:rsid w:val="00E47EC9"/>
    <w:rsid w:val="00E5079B"/>
    <w:rsid w:val="00E509DA"/>
    <w:rsid w:val="00E5160E"/>
    <w:rsid w:val="00E5186D"/>
    <w:rsid w:val="00E5225A"/>
    <w:rsid w:val="00E52A6D"/>
    <w:rsid w:val="00E5347C"/>
    <w:rsid w:val="00E534D8"/>
    <w:rsid w:val="00E53D77"/>
    <w:rsid w:val="00E53E5B"/>
    <w:rsid w:val="00E543A9"/>
    <w:rsid w:val="00E54551"/>
    <w:rsid w:val="00E552C4"/>
    <w:rsid w:val="00E55AA6"/>
    <w:rsid w:val="00E55C0B"/>
    <w:rsid w:val="00E5650A"/>
    <w:rsid w:val="00E57376"/>
    <w:rsid w:val="00E574C6"/>
    <w:rsid w:val="00E5794E"/>
    <w:rsid w:val="00E579C2"/>
    <w:rsid w:val="00E57D00"/>
    <w:rsid w:val="00E57D99"/>
    <w:rsid w:val="00E6075A"/>
    <w:rsid w:val="00E6166A"/>
    <w:rsid w:val="00E61687"/>
    <w:rsid w:val="00E625DF"/>
    <w:rsid w:val="00E6287E"/>
    <w:rsid w:val="00E62B99"/>
    <w:rsid w:val="00E654ED"/>
    <w:rsid w:val="00E65C60"/>
    <w:rsid w:val="00E65FB2"/>
    <w:rsid w:val="00E6608C"/>
    <w:rsid w:val="00E66732"/>
    <w:rsid w:val="00E66C20"/>
    <w:rsid w:val="00E66DD0"/>
    <w:rsid w:val="00E67982"/>
    <w:rsid w:val="00E67C9D"/>
    <w:rsid w:val="00E70FBE"/>
    <w:rsid w:val="00E721E8"/>
    <w:rsid w:val="00E7285B"/>
    <w:rsid w:val="00E72BA7"/>
    <w:rsid w:val="00E72E1E"/>
    <w:rsid w:val="00E7350E"/>
    <w:rsid w:val="00E7359B"/>
    <w:rsid w:val="00E735D1"/>
    <w:rsid w:val="00E7432F"/>
    <w:rsid w:val="00E758C3"/>
    <w:rsid w:val="00E76D8D"/>
    <w:rsid w:val="00E77C61"/>
    <w:rsid w:val="00E77CB3"/>
    <w:rsid w:val="00E8023B"/>
    <w:rsid w:val="00E80ABD"/>
    <w:rsid w:val="00E810BC"/>
    <w:rsid w:val="00E81301"/>
    <w:rsid w:val="00E82392"/>
    <w:rsid w:val="00E82BD5"/>
    <w:rsid w:val="00E83881"/>
    <w:rsid w:val="00E84403"/>
    <w:rsid w:val="00E84DBC"/>
    <w:rsid w:val="00E85B91"/>
    <w:rsid w:val="00E86AC2"/>
    <w:rsid w:val="00E86CE6"/>
    <w:rsid w:val="00E9001C"/>
    <w:rsid w:val="00E909F0"/>
    <w:rsid w:val="00E91ED2"/>
    <w:rsid w:val="00E93B90"/>
    <w:rsid w:val="00E94F40"/>
    <w:rsid w:val="00E954F1"/>
    <w:rsid w:val="00E957AE"/>
    <w:rsid w:val="00E95BA4"/>
    <w:rsid w:val="00E96ED3"/>
    <w:rsid w:val="00E96EE5"/>
    <w:rsid w:val="00E96FD7"/>
    <w:rsid w:val="00E97A8E"/>
    <w:rsid w:val="00EA01FA"/>
    <w:rsid w:val="00EA0CD9"/>
    <w:rsid w:val="00EA182C"/>
    <w:rsid w:val="00EA1CF4"/>
    <w:rsid w:val="00EA2D5D"/>
    <w:rsid w:val="00EA46EF"/>
    <w:rsid w:val="00EA4CE2"/>
    <w:rsid w:val="00EA595F"/>
    <w:rsid w:val="00EA617A"/>
    <w:rsid w:val="00EA6889"/>
    <w:rsid w:val="00EA7A25"/>
    <w:rsid w:val="00EB0282"/>
    <w:rsid w:val="00EB0341"/>
    <w:rsid w:val="00EB0415"/>
    <w:rsid w:val="00EB128A"/>
    <w:rsid w:val="00EB1330"/>
    <w:rsid w:val="00EB2461"/>
    <w:rsid w:val="00EB27C6"/>
    <w:rsid w:val="00EB3BC2"/>
    <w:rsid w:val="00EB3D18"/>
    <w:rsid w:val="00EB6E7E"/>
    <w:rsid w:val="00EB74A9"/>
    <w:rsid w:val="00EB7AA3"/>
    <w:rsid w:val="00EB7ECB"/>
    <w:rsid w:val="00EC0309"/>
    <w:rsid w:val="00EC05E8"/>
    <w:rsid w:val="00EC0831"/>
    <w:rsid w:val="00EC0C7C"/>
    <w:rsid w:val="00EC125F"/>
    <w:rsid w:val="00EC14CE"/>
    <w:rsid w:val="00EC189B"/>
    <w:rsid w:val="00EC3518"/>
    <w:rsid w:val="00EC3A5F"/>
    <w:rsid w:val="00EC3C64"/>
    <w:rsid w:val="00EC3C78"/>
    <w:rsid w:val="00EC4548"/>
    <w:rsid w:val="00EC4994"/>
    <w:rsid w:val="00EC52D2"/>
    <w:rsid w:val="00EC575B"/>
    <w:rsid w:val="00EC5C3D"/>
    <w:rsid w:val="00ED101A"/>
    <w:rsid w:val="00ED1737"/>
    <w:rsid w:val="00ED272F"/>
    <w:rsid w:val="00ED2A74"/>
    <w:rsid w:val="00ED352F"/>
    <w:rsid w:val="00ED3BB5"/>
    <w:rsid w:val="00ED3C5D"/>
    <w:rsid w:val="00ED42F7"/>
    <w:rsid w:val="00ED6E89"/>
    <w:rsid w:val="00ED7007"/>
    <w:rsid w:val="00ED7668"/>
    <w:rsid w:val="00EE0454"/>
    <w:rsid w:val="00EE0666"/>
    <w:rsid w:val="00EE0B2F"/>
    <w:rsid w:val="00EE1227"/>
    <w:rsid w:val="00EE1752"/>
    <w:rsid w:val="00EE1EDE"/>
    <w:rsid w:val="00EE26CF"/>
    <w:rsid w:val="00EE2B97"/>
    <w:rsid w:val="00EE3BCA"/>
    <w:rsid w:val="00EE3E97"/>
    <w:rsid w:val="00EE4777"/>
    <w:rsid w:val="00EE5167"/>
    <w:rsid w:val="00EE550C"/>
    <w:rsid w:val="00EE55B3"/>
    <w:rsid w:val="00EE5C39"/>
    <w:rsid w:val="00EE6838"/>
    <w:rsid w:val="00EE7C05"/>
    <w:rsid w:val="00EF043A"/>
    <w:rsid w:val="00EF0659"/>
    <w:rsid w:val="00EF078A"/>
    <w:rsid w:val="00EF0A6A"/>
    <w:rsid w:val="00EF0F4D"/>
    <w:rsid w:val="00EF132E"/>
    <w:rsid w:val="00EF1F34"/>
    <w:rsid w:val="00EF302B"/>
    <w:rsid w:val="00EF314C"/>
    <w:rsid w:val="00EF46F6"/>
    <w:rsid w:val="00EF49C8"/>
    <w:rsid w:val="00EF5998"/>
    <w:rsid w:val="00EF5F09"/>
    <w:rsid w:val="00EF6ABD"/>
    <w:rsid w:val="00EF6AF7"/>
    <w:rsid w:val="00EF7F68"/>
    <w:rsid w:val="00F01A04"/>
    <w:rsid w:val="00F01BCB"/>
    <w:rsid w:val="00F02146"/>
    <w:rsid w:val="00F02460"/>
    <w:rsid w:val="00F03332"/>
    <w:rsid w:val="00F036AB"/>
    <w:rsid w:val="00F0381D"/>
    <w:rsid w:val="00F038BF"/>
    <w:rsid w:val="00F04A04"/>
    <w:rsid w:val="00F04A23"/>
    <w:rsid w:val="00F04D1D"/>
    <w:rsid w:val="00F05DAD"/>
    <w:rsid w:val="00F067C5"/>
    <w:rsid w:val="00F06ABF"/>
    <w:rsid w:val="00F1018B"/>
    <w:rsid w:val="00F10337"/>
    <w:rsid w:val="00F115D4"/>
    <w:rsid w:val="00F11E4C"/>
    <w:rsid w:val="00F11FC6"/>
    <w:rsid w:val="00F12673"/>
    <w:rsid w:val="00F12CC9"/>
    <w:rsid w:val="00F12D71"/>
    <w:rsid w:val="00F13295"/>
    <w:rsid w:val="00F133F3"/>
    <w:rsid w:val="00F13776"/>
    <w:rsid w:val="00F13816"/>
    <w:rsid w:val="00F13DF5"/>
    <w:rsid w:val="00F141F0"/>
    <w:rsid w:val="00F14465"/>
    <w:rsid w:val="00F149CB"/>
    <w:rsid w:val="00F1597E"/>
    <w:rsid w:val="00F15D53"/>
    <w:rsid w:val="00F16669"/>
    <w:rsid w:val="00F166AE"/>
    <w:rsid w:val="00F17C33"/>
    <w:rsid w:val="00F212A6"/>
    <w:rsid w:val="00F216C8"/>
    <w:rsid w:val="00F219E6"/>
    <w:rsid w:val="00F21D21"/>
    <w:rsid w:val="00F21D6D"/>
    <w:rsid w:val="00F226F2"/>
    <w:rsid w:val="00F23286"/>
    <w:rsid w:val="00F246C7"/>
    <w:rsid w:val="00F24B6D"/>
    <w:rsid w:val="00F27138"/>
    <w:rsid w:val="00F27857"/>
    <w:rsid w:val="00F27995"/>
    <w:rsid w:val="00F27CF5"/>
    <w:rsid w:val="00F31550"/>
    <w:rsid w:val="00F3195C"/>
    <w:rsid w:val="00F31BA1"/>
    <w:rsid w:val="00F32373"/>
    <w:rsid w:val="00F330CA"/>
    <w:rsid w:val="00F334C0"/>
    <w:rsid w:val="00F3362B"/>
    <w:rsid w:val="00F33D54"/>
    <w:rsid w:val="00F33F4C"/>
    <w:rsid w:val="00F34714"/>
    <w:rsid w:val="00F3513B"/>
    <w:rsid w:val="00F35BE6"/>
    <w:rsid w:val="00F36833"/>
    <w:rsid w:val="00F4090C"/>
    <w:rsid w:val="00F415D8"/>
    <w:rsid w:val="00F4161E"/>
    <w:rsid w:val="00F41AAE"/>
    <w:rsid w:val="00F42E84"/>
    <w:rsid w:val="00F43801"/>
    <w:rsid w:val="00F4383F"/>
    <w:rsid w:val="00F43A6E"/>
    <w:rsid w:val="00F43A92"/>
    <w:rsid w:val="00F4433C"/>
    <w:rsid w:val="00F45A1A"/>
    <w:rsid w:val="00F46686"/>
    <w:rsid w:val="00F46826"/>
    <w:rsid w:val="00F46DD3"/>
    <w:rsid w:val="00F47203"/>
    <w:rsid w:val="00F47E21"/>
    <w:rsid w:val="00F50583"/>
    <w:rsid w:val="00F513CD"/>
    <w:rsid w:val="00F51474"/>
    <w:rsid w:val="00F517C5"/>
    <w:rsid w:val="00F5278C"/>
    <w:rsid w:val="00F5361A"/>
    <w:rsid w:val="00F54596"/>
    <w:rsid w:val="00F54CC5"/>
    <w:rsid w:val="00F57768"/>
    <w:rsid w:val="00F6023A"/>
    <w:rsid w:val="00F60E44"/>
    <w:rsid w:val="00F6226D"/>
    <w:rsid w:val="00F62DE1"/>
    <w:rsid w:val="00F62E48"/>
    <w:rsid w:val="00F63D4F"/>
    <w:rsid w:val="00F65014"/>
    <w:rsid w:val="00F6699C"/>
    <w:rsid w:val="00F676F5"/>
    <w:rsid w:val="00F67C6E"/>
    <w:rsid w:val="00F70292"/>
    <w:rsid w:val="00F7033B"/>
    <w:rsid w:val="00F7141C"/>
    <w:rsid w:val="00F72600"/>
    <w:rsid w:val="00F72F27"/>
    <w:rsid w:val="00F73200"/>
    <w:rsid w:val="00F7412D"/>
    <w:rsid w:val="00F74C06"/>
    <w:rsid w:val="00F76724"/>
    <w:rsid w:val="00F76C9B"/>
    <w:rsid w:val="00F76EBE"/>
    <w:rsid w:val="00F80647"/>
    <w:rsid w:val="00F81536"/>
    <w:rsid w:val="00F817DC"/>
    <w:rsid w:val="00F81E3C"/>
    <w:rsid w:val="00F81F7F"/>
    <w:rsid w:val="00F83555"/>
    <w:rsid w:val="00F83E97"/>
    <w:rsid w:val="00F8428C"/>
    <w:rsid w:val="00F847AF"/>
    <w:rsid w:val="00F85103"/>
    <w:rsid w:val="00F85553"/>
    <w:rsid w:val="00F8617F"/>
    <w:rsid w:val="00F86B7E"/>
    <w:rsid w:val="00F870B0"/>
    <w:rsid w:val="00F876EC"/>
    <w:rsid w:val="00F8787D"/>
    <w:rsid w:val="00F87C28"/>
    <w:rsid w:val="00F87F8E"/>
    <w:rsid w:val="00F915F5"/>
    <w:rsid w:val="00F91692"/>
    <w:rsid w:val="00F91822"/>
    <w:rsid w:val="00F91D49"/>
    <w:rsid w:val="00F91DFE"/>
    <w:rsid w:val="00F923DF"/>
    <w:rsid w:val="00F92566"/>
    <w:rsid w:val="00F925A4"/>
    <w:rsid w:val="00F92DFB"/>
    <w:rsid w:val="00F93753"/>
    <w:rsid w:val="00F94650"/>
    <w:rsid w:val="00F94689"/>
    <w:rsid w:val="00F957C1"/>
    <w:rsid w:val="00F95D89"/>
    <w:rsid w:val="00F95EF6"/>
    <w:rsid w:val="00FA07CD"/>
    <w:rsid w:val="00FA08FA"/>
    <w:rsid w:val="00FA1341"/>
    <w:rsid w:val="00FA13DF"/>
    <w:rsid w:val="00FA1E1F"/>
    <w:rsid w:val="00FA288B"/>
    <w:rsid w:val="00FA307E"/>
    <w:rsid w:val="00FA31D8"/>
    <w:rsid w:val="00FA3AC1"/>
    <w:rsid w:val="00FA3D85"/>
    <w:rsid w:val="00FA40D8"/>
    <w:rsid w:val="00FA4294"/>
    <w:rsid w:val="00FA4595"/>
    <w:rsid w:val="00FA4D46"/>
    <w:rsid w:val="00FA57BF"/>
    <w:rsid w:val="00FA5FF3"/>
    <w:rsid w:val="00FA6982"/>
    <w:rsid w:val="00FA6DA8"/>
    <w:rsid w:val="00FA753C"/>
    <w:rsid w:val="00FA7B33"/>
    <w:rsid w:val="00FA7D48"/>
    <w:rsid w:val="00FB036B"/>
    <w:rsid w:val="00FB097B"/>
    <w:rsid w:val="00FB0E49"/>
    <w:rsid w:val="00FB122E"/>
    <w:rsid w:val="00FB165C"/>
    <w:rsid w:val="00FB1BAB"/>
    <w:rsid w:val="00FB322B"/>
    <w:rsid w:val="00FB377F"/>
    <w:rsid w:val="00FB414E"/>
    <w:rsid w:val="00FB5989"/>
    <w:rsid w:val="00FB5E84"/>
    <w:rsid w:val="00FB6134"/>
    <w:rsid w:val="00FB68F0"/>
    <w:rsid w:val="00FB6942"/>
    <w:rsid w:val="00FB6E87"/>
    <w:rsid w:val="00FC0A9E"/>
    <w:rsid w:val="00FC16A8"/>
    <w:rsid w:val="00FC22B1"/>
    <w:rsid w:val="00FC234A"/>
    <w:rsid w:val="00FC3908"/>
    <w:rsid w:val="00FC432A"/>
    <w:rsid w:val="00FC49E6"/>
    <w:rsid w:val="00FC5126"/>
    <w:rsid w:val="00FC525E"/>
    <w:rsid w:val="00FC5751"/>
    <w:rsid w:val="00FC59C5"/>
    <w:rsid w:val="00FC5B70"/>
    <w:rsid w:val="00FC5BAC"/>
    <w:rsid w:val="00FC5C57"/>
    <w:rsid w:val="00FC6087"/>
    <w:rsid w:val="00FC6942"/>
    <w:rsid w:val="00FC6C68"/>
    <w:rsid w:val="00FC775D"/>
    <w:rsid w:val="00FC78F2"/>
    <w:rsid w:val="00FD023E"/>
    <w:rsid w:val="00FD0931"/>
    <w:rsid w:val="00FD0CF3"/>
    <w:rsid w:val="00FD2D6E"/>
    <w:rsid w:val="00FD2ED9"/>
    <w:rsid w:val="00FD3123"/>
    <w:rsid w:val="00FD5C17"/>
    <w:rsid w:val="00FD61BC"/>
    <w:rsid w:val="00FD6FE7"/>
    <w:rsid w:val="00FD7491"/>
    <w:rsid w:val="00FD75F1"/>
    <w:rsid w:val="00FD7DA9"/>
    <w:rsid w:val="00FD7F82"/>
    <w:rsid w:val="00FE0D7F"/>
    <w:rsid w:val="00FE3735"/>
    <w:rsid w:val="00FE414D"/>
    <w:rsid w:val="00FE5054"/>
    <w:rsid w:val="00FE536C"/>
    <w:rsid w:val="00FE5613"/>
    <w:rsid w:val="00FE6692"/>
    <w:rsid w:val="00FE734A"/>
    <w:rsid w:val="00FE7FEF"/>
    <w:rsid w:val="00FF0626"/>
    <w:rsid w:val="00FF0C95"/>
    <w:rsid w:val="00FF1628"/>
    <w:rsid w:val="00FF2031"/>
    <w:rsid w:val="00FF257F"/>
    <w:rsid w:val="00FF295B"/>
    <w:rsid w:val="00FF31AF"/>
    <w:rsid w:val="00FF328D"/>
    <w:rsid w:val="00FF3A83"/>
    <w:rsid w:val="00FF42A5"/>
    <w:rsid w:val="00FF56EB"/>
    <w:rsid w:val="00FF5B31"/>
    <w:rsid w:val="00FF6361"/>
    <w:rsid w:val="00FF6A56"/>
    <w:rsid w:val="00FF78A0"/>
    <w:rsid w:val="1ABD60D7"/>
    <w:rsid w:val="37BA5695"/>
    <w:rsid w:val="3B7E6596"/>
    <w:rsid w:val="44BE909F"/>
    <w:rsid w:val="70EDC112"/>
    <w:rsid w:val="7CC2B9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7B88D"/>
  <w15:chartTrackingRefBased/>
  <w15:docId w15:val="{E17A7CC7-B63D-4986-8F4C-4CB86DE07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05F9"/>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214B"/>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214B"/>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2214B"/>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2214B"/>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2214B"/>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2214B"/>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2214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2214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205F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05F9"/>
    <w:rPr>
      <w:sz w:val="20"/>
      <w:szCs w:val="20"/>
    </w:rPr>
  </w:style>
  <w:style w:type="character" w:styleId="FootnoteReference">
    <w:name w:val="footnote reference"/>
    <w:basedOn w:val="DefaultParagraphFont"/>
    <w:uiPriority w:val="99"/>
    <w:semiHidden/>
    <w:unhideWhenUsed/>
    <w:rsid w:val="001205F9"/>
    <w:rPr>
      <w:vertAlign w:val="superscript"/>
    </w:rPr>
  </w:style>
  <w:style w:type="character" w:customStyle="1" w:styleId="Heading1Char">
    <w:name w:val="Heading 1 Char"/>
    <w:basedOn w:val="DefaultParagraphFont"/>
    <w:link w:val="Heading1"/>
    <w:uiPriority w:val="9"/>
    <w:rsid w:val="001205F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1205F9"/>
    <w:pPr>
      <w:ind w:left="720"/>
      <w:contextualSpacing/>
    </w:pPr>
  </w:style>
  <w:style w:type="character" w:customStyle="1" w:styleId="Heading2Char">
    <w:name w:val="Heading 2 Char"/>
    <w:basedOn w:val="DefaultParagraphFont"/>
    <w:link w:val="Heading2"/>
    <w:uiPriority w:val="9"/>
    <w:rsid w:val="00E2214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214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2214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2214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2214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2214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2214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2214B"/>
    <w:rPr>
      <w:rFonts w:asciiTheme="majorHAnsi" w:eastAsiaTheme="majorEastAsia" w:hAnsiTheme="majorHAnsi" w:cstheme="majorBidi"/>
      <w:i/>
      <w:iCs/>
      <w:color w:val="272727" w:themeColor="text1" w:themeTint="D8"/>
      <w:sz w:val="21"/>
      <w:szCs w:val="21"/>
    </w:rPr>
  </w:style>
  <w:style w:type="character" w:styleId="BookTitle">
    <w:name w:val="Book Title"/>
    <w:basedOn w:val="DefaultParagraphFont"/>
    <w:uiPriority w:val="33"/>
    <w:qFormat/>
    <w:rsid w:val="00E2214B"/>
    <w:rPr>
      <w:b/>
      <w:bCs/>
      <w:i/>
      <w:iCs/>
      <w:spacing w:val="5"/>
    </w:rPr>
  </w:style>
  <w:style w:type="paragraph" w:styleId="Header">
    <w:name w:val="header"/>
    <w:basedOn w:val="Normal"/>
    <w:link w:val="HeaderChar"/>
    <w:uiPriority w:val="99"/>
    <w:unhideWhenUsed/>
    <w:rsid w:val="0046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4870"/>
  </w:style>
  <w:style w:type="paragraph" w:styleId="Footer">
    <w:name w:val="footer"/>
    <w:basedOn w:val="Normal"/>
    <w:link w:val="FooterChar"/>
    <w:uiPriority w:val="99"/>
    <w:unhideWhenUsed/>
    <w:rsid w:val="0046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4870"/>
  </w:style>
  <w:style w:type="paragraph" w:styleId="Caption">
    <w:name w:val="caption"/>
    <w:basedOn w:val="Normal"/>
    <w:next w:val="Normal"/>
    <w:uiPriority w:val="35"/>
    <w:unhideWhenUsed/>
    <w:qFormat/>
    <w:rsid w:val="00202149"/>
    <w:pPr>
      <w:spacing w:after="200" w:line="240" w:lineRule="auto"/>
    </w:pPr>
    <w:rPr>
      <w:i/>
      <w:iCs/>
      <w:color w:val="44546A" w:themeColor="text2"/>
      <w:sz w:val="18"/>
      <w:szCs w:val="18"/>
    </w:rPr>
  </w:style>
  <w:style w:type="paragraph" w:styleId="Revision">
    <w:name w:val="Revision"/>
    <w:hidden/>
    <w:uiPriority w:val="99"/>
    <w:semiHidden/>
    <w:rsid w:val="005B1815"/>
    <w:pPr>
      <w:spacing w:after="0" w:line="240" w:lineRule="auto"/>
    </w:pPr>
  </w:style>
  <w:style w:type="paragraph" w:styleId="NoSpacing">
    <w:name w:val="No Spacing"/>
    <w:uiPriority w:val="1"/>
    <w:qFormat/>
    <w:rsid w:val="00AE76E1"/>
    <w:pPr>
      <w:spacing w:after="0" w:line="240" w:lineRule="auto"/>
    </w:pPr>
  </w:style>
  <w:style w:type="character" w:styleId="CommentReference">
    <w:name w:val="annotation reference"/>
    <w:basedOn w:val="DefaultParagraphFont"/>
    <w:uiPriority w:val="99"/>
    <w:semiHidden/>
    <w:unhideWhenUsed/>
    <w:rsid w:val="008E37A4"/>
    <w:rPr>
      <w:sz w:val="16"/>
      <w:szCs w:val="16"/>
    </w:rPr>
  </w:style>
  <w:style w:type="paragraph" w:styleId="CommentText">
    <w:name w:val="annotation text"/>
    <w:basedOn w:val="Normal"/>
    <w:link w:val="CommentTextChar"/>
    <w:uiPriority w:val="99"/>
    <w:unhideWhenUsed/>
    <w:rsid w:val="008E37A4"/>
    <w:pPr>
      <w:spacing w:line="240" w:lineRule="auto"/>
    </w:pPr>
    <w:rPr>
      <w:sz w:val="20"/>
      <w:szCs w:val="20"/>
    </w:rPr>
  </w:style>
  <w:style w:type="character" w:customStyle="1" w:styleId="CommentTextChar">
    <w:name w:val="Comment Text Char"/>
    <w:basedOn w:val="DefaultParagraphFont"/>
    <w:link w:val="CommentText"/>
    <w:uiPriority w:val="99"/>
    <w:rsid w:val="008E37A4"/>
    <w:rPr>
      <w:sz w:val="20"/>
      <w:szCs w:val="20"/>
    </w:rPr>
  </w:style>
  <w:style w:type="paragraph" w:styleId="CommentSubject">
    <w:name w:val="annotation subject"/>
    <w:basedOn w:val="CommentText"/>
    <w:next w:val="CommentText"/>
    <w:link w:val="CommentSubjectChar"/>
    <w:uiPriority w:val="99"/>
    <w:semiHidden/>
    <w:unhideWhenUsed/>
    <w:rsid w:val="008E37A4"/>
    <w:rPr>
      <w:b/>
      <w:bCs/>
    </w:rPr>
  </w:style>
  <w:style w:type="character" w:customStyle="1" w:styleId="CommentSubjectChar">
    <w:name w:val="Comment Subject Char"/>
    <w:basedOn w:val="CommentTextChar"/>
    <w:link w:val="CommentSubject"/>
    <w:uiPriority w:val="99"/>
    <w:semiHidden/>
    <w:rsid w:val="008E37A4"/>
    <w:rPr>
      <w:b/>
      <w:bCs/>
      <w:sz w:val="20"/>
      <w:szCs w:val="20"/>
    </w:rPr>
  </w:style>
  <w:style w:type="table" w:styleId="TableGrid">
    <w:name w:val="Table Grid"/>
    <w:basedOn w:val="TableNormal"/>
    <w:uiPriority w:val="39"/>
    <w:rsid w:val="00CB1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E3E4C"/>
    <w:rPr>
      <w:color w:val="0563C1" w:themeColor="hyperlink"/>
      <w:u w:val="single"/>
    </w:rPr>
  </w:style>
  <w:style w:type="character" w:styleId="UnresolvedMention">
    <w:name w:val="Unresolved Mention"/>
    <w:basedOn w:val="DefaultParagraphFont"/>
    <w:uiPriority w:val="99"/>
    <w:semiHidden/>
    <w:unhideWhenUsed/>
    <w:rsid w:val="00AE3E4C"/>
    <w:rPr>
      <w:color w:val="605E5C"/>
      <w:shd w:val="clear" w:color="auto" w:fill="E1DFDD"/>
    </w:rPr>
  </w:style>
  <w:style w:type="paragraph" w:customStyle="1" w:styleId="ng-tns-c1-0">
    <w:name w:val="ng-tns-c1-0"/>
    <w:basedOn w:val="Normal"/>
    <w:rsid w:val="00D9041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g-tns-c1-01">
    <w:name w:val="ng-tns-c1-01"/>
    <w:basedOn w:val="DefaultParagraphFont"/>
    <w:rsid w:val="00D9041E"/>
  </w:style>
  <w:style w:type="paragraph" w:customStyle="1" w:styleId="blurb-text">
    <w:name w:val="blurb-text"/>
    <w:basedOn w:val="Normal"/>
    <w:rsid w:val="00D9041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D9041E"/>
    <w:rPr>
      <w:i/>
      <w:iCs/>
    </w:rPr>
  </w:style>
  <w:style w:type="character" w:styleId="Mention">
    <w:name w:val="Mention"/>
    <w:basedOn w:val="DefaultParagraphFont"/>
    <w:uiPriority w:val="99"/>
    <w:unhideWhenUsed/>
    <w:rsid w:val="00D9041E"/>
    <w:rPr>
      <w:color w:val="2B579A"/>
      <w:shd w:val="clear" w:color="auto" w:fill="E1DFDD"/>
    </w:rPr>
  </w:style>
  <w:style w:type="character" w:customStyle="1" w:styleId="ng-star-inserted">
    <w:name w:val="ng-star-inserted"/>
    <w:basedOn w:val="DefaultParagraphFont"/>
    <w:rsid w:val="00D9041E"/>
  </w:style>
  <w:style w:type="paragraph" w:customStyle="1" w:styleId="whitespace-pre-wrap">
    <w:name w:val="whitespace-pre-wrap"/>
    <w:basedOn w:val="Normal"/>
    <w:rsid w:val="00A05D1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63098">
      <w:bodyDiv w:val="1"/>
      <w:marLeft w:val="0"/>
      <w:marRight w:val="0"/>
      <w:marTop w:val="0"/>
      <w:marBottom w:val="0"/>
      <w:divBdr>
        <w:top w:val="none" w:sz="0" w:space="0" w:color="auto"/>
        <w:left w:val="none" w:sz="0" w:space="0" w:color="auto"/>
        <w:bottom w:val="none" w:sz="0" w:space="0" w:color="auto"/>
        <w:right w:val="none" w:sz="0" w:space="0" w:color="auto"/>
      </w:divBdr>
    </w:div>
    <w:div w:id="80882111">
      <w:bodyDiv w:val="1"/>
      <w:marLeft w:val="0"/>
      <w:marRight w:val="0"/>
      <w:marTop w:val="0"/>
      <w:marBottom w:val="0"/>
      <w:divBdr>
        <w:top w:val="none" w:sz="0" w:space="0" w:color="auto"/>
        <w:left w:val="none" w:sz="0" w:space="0" w:color="auto"/>
        <w:bottom w:val="none" w:sz="0" w:space="0" w:color="auto"/>
        <w:right w:val="none" w:sz="0" w:space="0" w:color="auto"/>
      </w:divBdr>
    </w:div>
    <w:div w:id="237132586">
      <w:bodyDiv w:val="1"/>
      <w:marLeft w:val="0"/>
      <w:marRight w:val="0"/>
      <w:marTop w:val="0"/>
      <w:marBottom w:val="0"/>
      <w:divBdr>
        <w:top w:val="none" w:sz="0" w:space="0" w:color="auto"/>
        <w:left w:val="none" w:sz="0" w:space="0" w:color="auto"/>
        <w:bottom w:val="none" w:sz="0" w:space="0" w:color="auto"/>
        <w:right w:val="none" w:sz="0" w:space="0" w:color="auto"/>
      </w:divBdr>
    </w:div>
    <w:div w:id="710350061">
      <w:bodyDiv w:val="1"/>
      <w:marLeft w:val="0"/>
      <w:marRight w:val="0"/>
      <w:marTop w:val="0"/>
      <w:marBottom w:val="0"/>
      <w:divBdr>
        <w:top w:val="none" w:sz="0" w:space="0" w:color="auto"/>
        <w:left w:val="none" w:sz="0" w:space="0" w:color="auto"/>
        <w:bottom w:val="none" w:sz="0" w:space="0" w:color="auto"/>
        <w:right w:val="none" w:sz="0" w:space="0" w:color="auto"/>
      </w:divBdr>
    </w:div>
    <w:div w:id="870917427">
      <w:bodyDiv w:val="1"/>
      <w:marLeft w:val="0"/>
      <w:marRight w:val="0"/>
      <w:marTop w:val="0"/>
      <w:marBottom w:val="0"/>
      <w:divBdr>
        <w:top w:val="none" w:sz="0" w:space="0" w:color="auto"/>
        <w:left w:val="none" w:sz="0" w:space="0" w:color="auto"/>
        <w:bottom w:val="none" w:sz="0" w:space="0" w:color="auto"/>
        <w:right w:val="none" w:sz="0" w:space="0" w:color="auto"/>
      </w:divBdr>
    </w:div>
    <w:div w:id="157458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chart" Target="charts/chart1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chart" Target="charts/chart1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Book1"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https://worldbankgroup-my.sharepoint.com/personal/erubiano_worldbank_org/Documents/Peru/Gender%20CEQ/4.%20Write-ups/Tablas%20y%20Gr&#225;ficos.xlsx" TargetMode="External"/></Relationships>
</file>

<file path=word/charts/_rels/chart11.xml.rels><?xml version="1.0" encoding="UTF-8" standalone="yes"?>
<Relationships xmlns="http://schemas.openxmlformats.org/package/2006/relationships"><Relationship Id="rId3" Type="http://schemas.openxmlformats.org/officeDocument/2006/relationships/oleObject" Target="https://worldbankgroup-my.sharepoint.com/personal/erubiano_worldbank_org/Documents/Peru/Gender%20CEQ/3.%20Presentations/Tablas%20y%20Gr&#225;ficos.xlsx" TargetMode="External"/><Relationship Id="rId2" Type="http://schemas.microsoft.com/office/2011/relationships/chartColorStyle" Target="colors10.xml"/><Relationship Id="rId1" Type="http://schemas.microsoft.com/office/2011/relationships/chartStyle" Target="style10.xml"/></Relationships>
</file>

<file path=word/charts/_rels/chart12.xml.rels><?xml version="1.0" encoding="UTF-8" standalone="yes"?>
<Relationships xmlns="http://schemas.openxmlformats.org/package/2006/relationships"><Relationship Id="rId3" Type="http://schemas.openxmlformats.org/officeDocument/2006/relationships/oleObject" Target="https://worldbankgroup-my.sharepoint.com/personal/erubiano_worldbank_org/Documents/Peru/Gender%20CEQ/3.%20Presentations/Tablas%20y%20Gr&#225;ficos.xlsx" TargetMode="External"/><Relationship Id="rId2" Type="http://schemas.microsoft.com/office/2011/relationships/chartColorStyle" Target="colors11.xml"/><Relationship Id="rId1" Type="http://schemas.microsoft.com/office/2011/relationships/chartStyle" Target="style11.xm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https://worldbankgroup-my.sharepoint.com/personal/erubiano_worldbank_org/Documents/Peru/Gender%20CEQ/4.%20Write-ups/Tablas%20y%20Gr&#225;ficos.xlsx" TargetMode="External"/></Relationships>
</file>

<file path=word/charts/_rels/chart14.xml.rels><?xml version="1.0" encoding="UTF-8" standalone="yes"?>
<Relationships xmlns="http://schemas.openxmlformats.org/package/2006/relationships"><Relationship Id="rId3" Type="http://schemas.openxmlformats.org/officeDocument/2006/relationships/oleObject" Target="https://worldbankgroup-my.sharepoint.com/personal/erubiano_worldbank_org/Documents/Peru/Gender%20CEQ/4.%20Write-ups/Tablas%20y%20Gr&#225;ficos.xlsx" TargetMode="External"/><Relationship Id="rId2" Type="http://schemas.microsoft.com/office/2011/relationships/chartColorStyle" Target="colors13.xml"/><Relationship Id="rId1" Type="http://schemas.microsoft.com/office/2011/relationships/chartStyle" Target="style13.xml"/></Relationships>
</file>

<file path=word/charts/_rels/chart15.xml.rels><?xml version="1.0" encoding="UTF-8" standalone="yes"?>
<Relationships xmlns="http://schemas.openxmlformats.org/package/2006/relationships"><Relationship Id="rId3" Type="http://schemas.openxmlformats.org/officeDocument/2006/relationships/oleObject" Target="https://worldbankgroup-my.sharepoint.com/personal/erubiano_worldbank_org/Documents/Peru/Gender%20CEQ/4.%20Write-ups/Tablas%20y%20Gr&#225;ficos.xlsx" TargetMode="External"/><Relationship Id="rId2" Type="http://schemas.microsoft.com/office/2011/relationships/chartColorStyle" Target="colors14.xml"/><Relationship Id="rId1" Type="http://schemas.microsoft.com/office/2011/relationships/chartStyle" Target="style14.xm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embeddings/oleObject2.bin"/></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https://worldbankgroup-my.sharepoint.com/personal/erubiano_worldbank_org/Documents/Peru/Gender%20CEQ/4.%20Write-ups/Tablas%20y%20Gr&#225;ficos.xlsx" TargetMode="External"/></Relationships>
</file>

<file path=word/charts/_rels/chart18.xml.rels><?xml version="1.0" encoding="UTF-8" standalone="yes"?>
<Relationships xmlns="http://schemas.openxmlformats.org/package/2006/relationships"><Relationship Id="rId3" Type="http://schemas.openxmlformats.org/officeDocument/2006/relationships/oleObject" Target="https://worldbankgroup-my.sharepoint.com/personal/erubiano_worldbank_org/Documents/Peru/Gender%20CEQ/4.%20Write-ups/Tablas%20y%20Gr&#225;ficos.xlsx" TargetMode="External"/><Relationship Id="rId2" Type="http://schemas.microsoft.com/office/2011/relationships/chartColorStyle" Target="colors17.xml"/><Relationship Id="rId1" Type="http://schemas.microsoft.com/office/2011/relationships/chartStyle" Target="style17.xml"/></Relationships>
</file>

<file path=word/charts/_rels/chart19.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https://worldbankgroup-my.sharepoint.com/personal/erubiano_worldbank_org/Documents/Peru/Gender%20CEQ/4.%20Write-ups/Tablas%20y%20Gr&#225;ficos.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worldbankgroup-my.sharepoint.com/personal/ldelaflorgiuffra_worldbank_org1/Documents/Gender%20-%20Poverty/E-CEQ/05_Engagement/Peru/Intro%20E_CEQ%20peruxlsx.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https://worldbankgroup-my.sharepoint.com/personal/erubiano_worldbank_org/Documents/Peru/Gender%20CEQ/3.%20Presentations/Tablas%20y%20Gr&#225;ficos.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embeddings/oleObject1.bin"/></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https://worldbankgroup-my.sharepoint.com/personal/erubiano_worldbank_org/Documents/Peru/Gender%20CEQ/4.%20Write-ups/Tablas%20y%20Gr&#225;ficos.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https://worldbankgroup-my.sharepoint.com/personal/erubiano_worldbank_org/Documents/Peru/Gender%20CEQ/4.%20Write-ups/Tablas%20y%20Gr&#225;ficos.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5" Type="http://schemas.openxmlformats.org/officeDocument/2006/relationships/chartUserShapes" Target="../drawings/drawing2.xml"/><Relationship Id="rId4" Type="http://schemas.openxmlformats.org/officeDocument/2006/relationships/oleObject" Target="https://worldbankgroup-my.sharepoint.com/personal/erubiano_worldbank_org/Documents/Peru/Gender%20CEQ/4.%20Write-ups/Tablas%20y%20Gr&#225;ficos.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5" Type="http://schemas.openxmlformats.org/officeDocument/2006/relationships/chartUserShapes" Target="../drawings/drawing3.xml"/><Relationship Id="rId4" Type="http://schemas.openxmlformats.org/officeDocument/2006/relationships/oleObject" Target="https://worldbankgroup-my.sharepoint.com/personal/erubiano_worldbank_org/Documents/Peru/Gender%20CEQ/4.%20Write-ups/Tablas%20y%20Gr&#225;fico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Sheet1!$G$2</c:f>
              <c:strCache>
                <c:ptCount val="1"/>
                <c:pt idx="0">
                  <c:v>Female</c:v>
                </c:pt>
              </c:strCache>
            </c:strRef>
          </c:tx>
          <c:spPr>
            <a:ln w="28575" cap="rnd">
              <a:solidFill>
                <a:srgbClr val="4472C4">
                  <a:lumMod val="60000"/>
                  <a:lumOff val="40000"/>
                </a:srgbClr>
              </a:solidFill>
              <a:round/>
            </a:ln>
            <a:effectLst/>
          </c:spPr>
          <c:marker>
            <c:symbol val="none"/>
          </c:marker>
          <c:dLbls>
            <c:dLbl>
              <c:idx val="0"/>
              <c:layout>
                <c:manualLayout>
                  <c:x val="-3.888888888888889E-2"/>
                  <c:y val="3.2482598607888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A95-42C1-A211-DF953CB3D1F3}"/>
                </c:ext>
              </c:extLst>
            </c:dLbl>
            <c:dLbl>
              <c:idx val="19"/>
              <c:layout>
                <c:manualLayout>
                  <c:x val="-3.0555555555555555E-2"/>
                  <c:y val="3.2482598607888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A95-42C1-A211-DF953CB3D1F3}"/>
                </c:ext>
              </c:extLst>
            </c:dLbl>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j-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Sheet1!$H$1:$AA$1</c:f>
              <c:numCache>
                <c:formatCode>General</c:formatCode>
                <c:ptCount val="20"/>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pt idx="16">
                  <c:v>2020</c:v>
                </c:pt>
                <c:pt idx="17">
                  <c:v>2021</c:v>
                </c:pt>
                <c:pt idx="18">
                  <c:v>2022</c:v>
                </c:pt>
                <c:pt idx="19">
                  <c:v>2023</c:v>
                </c:pt>
              </c:numCache>
            </c:numRef>
          </c:cat>
          <c:val>
            <c:numRef>
              <c:f>Sheet1!$H$2:$AA$2</c:f>
              <c:numCache>
                <c:formatCode>0.0</c:formatCode>
                <c:ptCount val="20"/>
                <c:pt idx="0">
                  <c:v>66.941000000000003</c:v>
                </c:pt>
                <c:pt idx="1">
                  <c:v>64.290000000000006</c:v>
                </c:pt>
                <c:pt idx="2">
                  <c:v>67.537999999999997</c:v>
                </c:pt>
                <c:pt idx="3">
                  <c:v>70.108999999999995</c:v>
                </c:pt>
                <c:pt idx="4">
                  <c:v>70.265000000000001</c:v>
                </c:pt>
                <c:pt idx="5">
                  <c:v>70.537000000000006</c:v>
                </c:pt>
                <c:pt idx="6">
                  <c:v>71.998999999999995</c:v>
                </c:pt>
                <c:pt idx="7">
                  <c:v>71.183000000000007</c:v>
                </c:pt>
                <c:pt idx="8">
                  <c:v>70.861999999999995</c:v>
                </c:pt>
                <c:pt idx="9">
                  <c:v>70.147000000000006</c:v>
                </c:pt>
                <c:pt idx="10">
                  <c:v>69.238</c:v>
                </c:pt>
                <c:pt idx="11">
                  <c:v>67.590999999999994</c:v>
                </c:pt>
                <c:pt idx="12">
                  <c:v>67.664000000000001</c:v>
                </c:pt>
                <c:pt idx="13">
                  <c:v>69.346000000000004</c:v>
                </c:pt>
                <c:pt idx="14">
                  <c:v>69.805000000000007</c:v>
                </c:pt>
                <c:pt idx="15">
                  <c:v>69.994</c:v>
                </c:pt>
                <c:pt idx="16">
                  <c:v>59.81</c:v>
                </c:pt>
                <c:pt idx="17">
                  <c:v>64.772999999999996</c:v>
                </c:pt>
                <c:pt idx="18">
                  <c:v>66.731999999999999</c:v>
                </c:pt>
                <c:pt idx="19">
                  <c:v>65.097999999999999</c:v>
                </c:pt>
              </c:numCache>
            </c:numRef>
          </c:val>
          <c:smooth val="0"/>
          <c:extLst>
            <c:ext xmlns:c16="http://schemas.microsoft.com/office/drawing/2014/chart" uri="{C3380CC4-5D6E-409C-BE32-E72D297353CC}">
              <c16:uniqueId val="{00000002-6A95-42C1-A211-DF953CB3D1F3}"/>
            </c:ext>
          </c:extLst>
        </c:ser>
        <c:ser>
          <c:idx val="1"/>
          <c:order val="1"/>
          <c:tx>
            <c:strRef>
              <c:f>Sheet1!$G$3</c:f>
              <c:strCache>
                <c:ptCount val="1"/>
                <c:pt idx="0">
                  <c:v>Male</c:v>
                </c:pt>
              </c:strCache>
            </c:strRef>
          </c:tx>
          <c:spPr>
            <a:ln w="28575" cap="rnd">
              <a:solidFill>
                <a:srgbClr val="4472C4">
                  <a:lumMod val="50000"/>
                </a:srgbClr>
              </a:solidFill>
              <a:round/>
            </a:ln>
            <a:effectLst/>
          </c:spPr>
          <c:marker>
            <c:symbol val="none"/>
          </c:marker>
          <c:cat>
            <c:numRef>
              <c:f>Sheet1!$H$1:$AA$1</c:f>
              <c:numCache>
                <c:formatCode>General</c:formatCode>
                <c:ptCount val="20"/>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pt idx="16">
                  <c:v>2020</c:v>
                </c:pt>
                <c:pt idx="17">
                  <c:v>2021</c:v>
                </c:pt>
                <c:pt idx="18">
                  <c:v>2022</c:v>
                </c:pt>
                <c:pt idx="19">
                  <c:v>2023</c:v>
                </c:pt>
              </c:numCache>
            </c:numRef>
          </c:cat>
          <c:val>
            <c:numRef>
              <c:f>Sheet1!$H$3:$AA$3</c:f>
              <c:numCache>
                <c:formatCode>0.0</c:formatCode>
                <c:ptCount val="20"/>
                <c:pt idx="0">
                  <c:v>84.582999999999998</c:v>
                </c:pt>
                <c:pt idx="1">
                  <c:v>81.914000000000001</c:v>
                </c:pt>
                <c:pt idx="2">
                  <c:v>84.763999999999996</c:v>
                </c:pt>
                <c:pt idx="3">
                  <c:v>86.411000000000001</c:v>
                </c:pt>
                <c:pt idx="4">
                  <c:v>86.195999999999998</c:v>
                </c:pt>
                <c:pt idx="5">
                  <c:v>86.603999999999999</c:v>
                </c:pt>
                <c:pt idx="6">
                  <c:v>86.504999999999995</c:v>
                </c:pt>
                <c:pt idx="7">
                  <c:v>86.144999999999996</c:v>
                </c:pt>
                <c:pt idx="8">
                  <c:v>86.040999999999997</c:v>
                </c:pt>
                <c:pt idx="9">
                  <c:v>85.569000000000003</c:v>
                </c:pt>
                <c:pt idx="10">
                  <c:v>84.873000000000005</c:v>
                </c:pt>
                <c:pt idx="11">
                  <c:v>84.212000000000003</c:v>
                </c:pt>
                <c:pt idx="12">
                  <c:v>83.103999999999999</c:v>
                </c:pt>
                <c:pt idx="13">
                  <c:v>84.697999999999993</c:v>
                </c:pt>
                <c:pt idx="14">
                  <c:v>84.599000000000004</c:v>
                </c:pt>
                <c:pt idx="15">
                  <c:v>84.766999999999996</c:v>
                </c:pt>
                <c:pt idx="16">
                  <c:v>78.114000000000004</c:v>
                </c:pt>
                <c:pt idx="17">
                  <c:v>79.103999999999999</c:v>
                </c:pt>
                <c:pt idx="18">
                  <c:v>82.427999999999997</c:v>
                </c:pt>
                <c:pt idx="19">
                  <c:v>80.501000000000005</c:v>
                </c:pt>
              </c:numCache>
            </c:numRef>
          </c:val>
          <c:smooth val="0"/>
          <c:extLst>
            <c:ext xmlns:c16="http://schemas.microsoft.com/office/drawing/2014/chart" uri="{C3380CC4-5D6E-409C-BE32-E72D297353CC}">
              <c16:uniqueId val="{00000003-6A95-42C1-A211-DF953CB3D1F3}"/>
            </c:ext>
          </c:extLst>
        </c:ser>
        <c:dLbls>
          <c:showLegendKey val="0"/>
          <c:showVal val="0"/>
          <c:showCatName val="0"/>
          <c:showSerName val="0"/>
          <c:showPercent val="0"/>
          <c:showBubbleSize val="0"/>
        </c:dLbls>
        <c:hiLowLines>
          <c:spPr>
            <a:ln w="3175" cap="flat" cmpd="sng" algn="ctr">
              <a:solidFill>
                <a:sysClr val="windowText" lastClr="000000">
                  <a:lumMod val="75000"/>
                  <a:lumOff val="25000"/>
                  <a:alpha val="62000"/>
                </a:sysClr>
              </a:solidFill>
              <a:prstDash val="lgDash"/>
              <a:round/>
            </a:ln>
            <a:effectLst/>
          </c:spPr>
        </c:hiLowLines>
        <c:smooth val="0"/>
        <c:axId val="1828620688"/>
        <c:axId val="1828622128"/>
      </c:lineChart>
      <c:catAx>
        <c:axId val="1828620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ysClr val="windowText" lastClr="000000"/>
                </a:solidFill>
                <a:latin typeface="+mj-lt"/>
                <a:ea typeface="+mn-ea"/>
                <a:cs typeface="+mn-cs"/>
              </a:defRPr>
            </a:pPr>
            <a:endParaRPr lang="en-US"/>
          </a:p>
        </c:txPr>
        <c:crossAx val="1828622128"/>
        <c:crosses val="autoZero"/>
        <c:auto val="1"/>
        <c:lblAlgn val="ctr"/>
        <c:lblOffset val="100"/>
        <c:noMultiLvlLbl val="0"/>
      </c:catAx>
      <c:valAx>
        <c:axId val="1828622128"/>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j-lt"/>
                <a:ea typeface="+mn-ea"/>
                <a:cs typeface="+mn-cs"/>
              </a:defRPr>
            </a:pPr>
            <a:endParaRPr lang="en-US"/>
          </a:p>
        </c:txPr>
        <c:crossAx val="18286206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j-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mj-lt"/>
        </a:defRPr>
      </a:pPr>
      <a:endParaRPr lang="en-US"/>
    </a:p>
  </c:txPr>
  <c:externalData r:id="rId4">
    <c:autoUpdate val="0"/>
  </c:externalData>
  <c:userShapes r:id="rId5"/>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2817033704896866E-2"/>
          <c:y val="4.6462396425798878E-2"/>
          <c:w val="0.67494257765775545"/>
          <c:h val="0.83438457516754072"/>
        </c:manualLayout>
      </c:layout>
      <c:barChart>
        <c:barDir val="col"/>
        <c:grouping val="stacked"/>
        <c:varyColors val="0"/>
        <c:ser>
          <c:idx val="0"/>
          <c:order val="0"/>
          <c:tx>
            <c:strRef>
              <c:f>'[Tablas y Gráficos.xlsx]CEQ 2019 - Resultados'!$C$71</c:f>
              <c:strCache>
                <c:ptCount val="1"/>
                <c:pt idx="0">
                  <c:v>Direct Taxes</c:v>
                </c:pt>
              </c:strCache>
            </c:strRef>
          </c:tx>
          <c:spPr>
            <a:solidFill>
              <a:schemeClr val="accent2">
                <a:lumMod val="75000"/>
              </a:schemeClr>
            </a:solidFill>
            <a:ln>
              <a:solidFill>
                <a:schemeClr val="tx1"/>
              </a:solidFill>
            </a:ln>
            <a:effectLst/>
          </c:spPr>
          <c:invertIfNegative val="0"/>
          <c:cat>
            <c:strRef>
              <c:f>'[Tablas y Gráficos.xlsx]CEQ 2019 - Resultados'!$D$70:$I$70</c:f>
              <c:strCache>
                <c:ptCount val="6"/>
                <c:pt idx="0">
                  <c:v>National</c:v>
                </c:pt>
                <c:pt idx="1">
                  <c:v>Q1</c:v>
                </c:pt>
                <c:pt idx="2">
                  <c:v>Q2</c:v>
                </c:pt>
                <c:pt idx="3">
                  <c:v>Q3</c:v>
                </c:pt>
                <c:pt idx="4">
                  <c:v>Q4</c:v>
                </c:pt>
                <c:pt idx="5">
                  <c:v>Q5</c:v>
                </c:pt>
              </c:strCache>
            </c:strRef>
          </c:cat>
          <c:val>
            <c:numRef>
              <c:f>'[Tablas y Gráficos.xlsx]CEQ 2019 - Resultados'!$D$71:$I$71</c:f>
              <c:numCache>
                <c:formatCode>0.0%</c:formatCode>
                <c:ptCount val="6"/>
                <c:pt idx="0">
                  <c:v>-1.2891364900482181E-2</c:v>
                </c:pt>
                <c:pt idx="1">
                  <c:v>-5.8086204267815444E-4</c:v>
                </c:pt>
                <c:pt idx="2">
                  <c:v>-9.2172849836464558E-4</c:v>
                </c:pt>
                <c:pt idx="3">
                  <c:v>-2.0970189437877181E-3</c:v>
                </c:pt>
                <c:pt idx="4">
                  <c:v>-4.9995885465069726E-3</c:v>
                </c:pt>
                <c:pt idx="5">
                  <c:v>-2.6553730582159488E-2</c:v>
                </c:pt>
              </c:numCache>
            </c:numRef>
          </c:val>
          <c:extLst>
            <c:ext xmlns:c16="http://schemas.microsoft.com/office/drawing/2014/chart" uri="{C3380CC4-5D6E-409C-BE32-E72D297353CC}">
              <c16:uniqueId val="{00000000-4E52-4AF1-8A14-FC787E99B3D9}"/>
            </c:ext>
          </c:extLst>
        </c:ser>
        <c:ser>
          <c:idx val="1"/>
          <c:order val="1"/>
          <c:tx>
            <c:strRef>
              <c:f>'[Tablas y Gráficos.xlsx]CEQ 2019 - Resultados'!$C$72</c:f>
              <c:strCache>
                <c:ptCount val="1"/>
                <c:pt idx="0">
                  <c:v>JUNTOS</c:v>
                </c:pt>
              </c:strCache>
            </c:strRef>
          </c:tx>
          <c:spPr>
            <a:solidFill>
              <a:schemeClr val="accent5">
                <a:lumMod val="50000"/>
              </a:schemeClr>
            </a:solidFill>
            <a:ln>
              <a:solidFill>
                <a:schemeClr val="tx1"/>
              </a:solidFill>
            </a:ln>
            <a:effectLst/>
          </c:spPr>
          <c:invertIfNegative val="0"/>
          <c:cat>
            <c:strRef>
              <c:f>'[Tablas y Gráficos.xlsx]CEQ 2019 - Resultados'!$D$70:$I$70</c:f>
              <c:strCache>
                <c:ptCount val="6"/>
                <c:pt idx="0">
                  <c:v>National</c:v>
                </c:pt>
                <c:pt idx="1">
                  <c:v>Q1</c:v>
                </c:pt>
                <c:pt idx="2">
                  <c:v>Q2</c:v>
                </c:pt>
                <c:pt idx="3">
                  <c:v>Q3</c:v>
                </c:pt>
                <c:pt idx="4">
                  <c:v>Q4</c:v>
                </c:pt>
                <c:pt idx="5">
                  <c:v>Q5</c:v>
                </c:pt>
              </c:strCache>
            </c:strRef>
          </c:cat>
          <c:val>
            <c:numRef>
              <c:f>'[Tablas y Gráficos.xlsx]CEQ 2019 - Resultados'!$D$72:$I$72</c:f>
              <c:numCache>
                <c:formatCode>0.0%</c:formatCode>
                <c:ptCount val="6"/>
                <c:pt idx="0">
                  <c:v>2.9823453757308201E-3</c:v>
                </c:pt>
                <c:pt idx="1">
                  <c:v>3.8735235606504929E-2</c:v>
                </c:pt>
                <c:pt idx="2">
                  <c:v>6.3637960235944759E-3</c:v>
                </c:pt>
                <c:pt idx="3">
                  <c:v>1.2180165110134956E-3</c:v>
                </c:pt>
                <c:pt idx="4">
                  <c:v>1.528721507052232E-4</c:v>
                </c:pt>
                <c:pt idx="5">
                  <c:v>2.6668457934628666E-5</c:v>
                </c:pt>
              </c:numCache>
            </c:numRef>
          </c:val>
          <c:extLst>
            <c:ext xmlns:c16="http://schemas.microsoft.com/office/drawing/2014/chart" uri="{C3380CC4-5D6E-409C-BE32-E72D297353CC}">
              <c16:uniqueId val="{00000001-4E52-4AF1-8A14-FC787E99B3D9}"/>
            </c:ext>
          </c:extLst>
        </c:ser>
        <c:ser>
          <c:idx val="2"/>
          <c:order val="2"/>
          <c:tx>
            <c:strRef>
              <c:f>'[Tablas y Gráficos.xlsx]CEQ 2019 - Resultados'!$C$73</c:f>
              <c:strCache>
                <c:ptCount val="1"/>
                <c:pt idx="0">
                  <c:v>Pensión 65</c:v>
                </c:pt>
              </c:strCache>
            </c:strRef>
          </c:tx>
          <c:spPr>
            <a:solidFill>
              <a:schemeClr val="accent5">
                <a:lumMod val="75000"/>
              </a:schemeClr>
            </a:solidFill>
            <a:ln>
              <a:solidFill>
                <a:schemeClr val="tx1"/>
              </a:solidFill>
            </a:ln>
            <a:effectLst/>
          </c:spPr>
          <c:invertIfNegative val="0"/>
          <c:cat>
            <c:strRef>
              <c:f>'[Tablas y Gráficos.xlsx]CEQ 2019 - Resultados'!$D$70:$I$70</c:f>
              <c:strCache>
                <c:ptCount val="6"/>
                <c:pt idx="0">
                  <c:v>National</c:v>
                </c:pt>
                <c:pt idx="1">
                  <c:v>Q1</c:v>
                </c:pt>
                <c:pt idx="2">
                  <c:v>Q2</c:v>
                </c:pt>
                <c:pt idx="3">
                  <c:v>Q3</c:v>
                </c:pt>
                <c:pt idx="4">
                  <c:v>Q4</c:v>
                </c:pt>
                <c:pt idx="5">
                  <c:v>Q5</c:v>
                </c:pt>
              </c:strCache>
            </c:strRef>
          </c:cat>
          <c:val>
            <c:numRef>
              <c:f>'[Tablas y Gráficos.xlsx]CEQ 2019 - Resultados'!$D$73:$I$73</c:f>
              <c:numCache>
                <c:formatCode>0.0%</c:formatCode>
                <c:ptCount val="6"/>
                <c:pt idx="0">
                  <c:v>3.4833553602656086E-3</c:v>
                </c:pt>
                <c:pt idx="1">
                  <c:v>4.0328070532141554E-2</c:v>
                </c:pt>
                <c:pt idx="2">
                  <c:v>7.6193602868573334E-3</c:v>
                </c:pt>
                <c:pt idx="3">
                  <c:v>1.9839742183970451E-3</c:v>
                </c:pt>
                <c:pt idx="4">
                  <c:v>6.4056529488393601E-4</c:v>
                </c:pt>
                <c:pt idx="5">
                  <c:v>9.0341682608838521E-5</c:v>
                </c:pt>
              </c:numCache>
            </c:numRef>
          </c:val>
          <c:extLst>
            <c:ext xmlns:c16="http://schemas.microsoft.com/office/drawing/2014/chart" uri="{C3380CC4-5D6E-409C-BE32-E72D297353CC}">
              <c16:uniqueId val="{00000002-4E52-4AF1-8A14-FC787E99B3D9}"/>
            </c:ext>
          </c:extLst>
        </c:ser>
        <c:ser>
          <c:idx val="3"/>
          <c:order val="3"/>
          <c:tx>
            <c:strRef>
              <c:f>'[Tablas y Gráficos.xlsx]CEQ 2019 - Resultados'!$C$74</c:f>
              <c:strCache>
                <c:ptCount val="1"/>
                <c:pt idx="0">
                  <c:v>Other monetary transfers</c:v>
                </c:pt>
              </c:strCache>
            </c:strRef>
          </c:tx>
          <c:spPr>
            <a:solidFill>
              <a:schemeClr val="accent5">
                <a:lumMod val="60000"/>
                <a:lumOff val="40000"/>
              </a:schemeClr>
            </a:solidFill>
            <a:ln>
              <a:solidFill>
                <a:schemeClr val="tx1"/>
              </a:solidFill>
            </a:ln>
            <a:effectLst/>
          </c:spPr>
          <c:invertIfNegative val="0"/>
          <c:cat>
            <c:strRef>
              <c:f>'[Tablas y Gráficos.xlsx]CEQ 2019 - Resultados'!$D$70:$I$70</c:f>
              <c:strCache>
                <c:ptCount val="6"/>
                <c:pt idx="0">
                  <c:v>National</c:v>
                </c:pt>
                <c:pt idx="1">
                  <c:v>Q1</c:v>
                </c:pt>
                <c:pt idx="2">
                  <c:v>Q2</c:v>
                </c:pt>
                <c:pt idx="3">
                  <c:v>Q3</c:v>
                </c:pt>
                <c:pt idx="4">
                  <c:v>Q4</c:v>
                </c:pt>
                <c:pt idx="5">
                  <c:v>Q5</c:v>
                </c:pt>
              </c:strCache>
            </c:strRef>
          </c:cat>
          <c:val>
            <c:numRef>
              <c:f>'[Tablas y Gráficos.xlsx]CEQ 2019 - Resultados'!$D$74:$I$74</c:f>
              <c:numCache>
                <c:formatCode>0.0%</c:formatCode>
                <c:ptCount val="6"/>
                <c:pt idx="0">
                  <c:v>1.0756893882963459E-2</c:v>
                </c:pt>
                <c:pt idx="1">
                  <c:v>3.5968108711460112E-2</c:v>
                </c:pt>
                <c:pt idx="2">
                  <c:v>1.6730960423844966E-2</c:v>
                </c:pt>
                <c:pt idx="3">
                  <c:v>1.3486195315728715E-2</c:v>
                </c:pt>
                <c:pt idx="4">
                  <c:v>6.426668617025998E-3</c:v>
                </c:pt>
                <c:pt idx="5">
                  <c:v>7.4358265464936606E-3</c:v>
                </c:pt>
              </c:numCache>
            </c:numRef>
          </c:val>
          <c:extLst>
            <c:ext xmlns:c16="http://schemas.microsoft.com/office/drawing/2014/chart" uri="{C3380CC4-5D6E-409C-BE32-E72D297353CC}">
              <c16:uniqueId val="{00000003-4E52-4AF1-8A14-FC787E99B3D9}"/>
            </c:ext>
          </c:extLst>
        </c:ser>
        <c:ser>
          <c:idx val="5"/>
          <c:order val="4"/>
          <c:tx>
            <c:strRef>
              <c:f>'[Tablas y Gráficos.xlsx]CEQ 2019 - Resultados'!$C$75</c:f>
              <c:strCache>
                <c:ptCount val="1"/>
                <c:pt idx="0">
                  <c:v>Non-monetary public transfers</c:v>
                </c:pt>
              </c:strCache>
            </c:strRef>
          </c:tx>
          <c:spPr>
            <a:solidFill>
              <a:schemeClr val="accent5">
                <a:lumMod val="20000"/>
                <a:lumOff val="80000"/>
              </a:schemeClr>
            </a:solidFill>
            <a:ln>
              <a:solidFill>
                <a:schemeClr val="tx1"/>
              </a:solidFill>
            </a:ln>
            <a:effectLst/>
          </c:spPr>
          <c:invertIfNegative val="0"/>
          <c:cat>
            <c:strRef>
              <c:f>'[Tablas y Gráficos.xlsx]CEQ 2019 - Resultados'!$D$70:$I$70</c:f>
              <c:strCache>
                <c:ptCount val="6"/>
                <c:pt idx="0">
                  <c:v>National</c:v>
                </c:pt>
                <c:pt idx="1">
                  <c:v>Q1</c:v>
                </c:pt>
                <c:pt idx="2">
                  <c:v>Q2</c:v>
                </c:pt>
                <c:pt idx="3">
                  <c:v>Q3</c:v>
                </c:pt>
                <c:pt idx="4">
                  <c:v>Q4</c:v>
                </c:pt>
                <c:pt idx="5">
                  <c:v>Q5</c:v>
                </c:pt>
              </c:strCache>
            </c:strRef>
          </c:cat>
          <c:val>
            <c:numRef>
              <c:f>'[Tablas y Gráficos.xlsx]CEQ 2019 - Resultados'!$D$75:$I$75</c:f>
              <c:numCache>
                <c:formatCode>0.0%</c:formatCode>
                <c:ptCount val="6"/>
                <c:pt idx="0">
                  <c:v>3.9308108192319313E-3</c:v>
                </c:pt>
                <c:pt idx="1">
                  <c:v>2.844145175521753E-2</c:v>
                </c:pt>
                <c:pt idx="2">
                  <c:v>9.9639801105294371E-3</c:v>
                </c:pt>
                <c:pt idx="3">
                  <c:v>4.3422105570792725E-3</c:v>
                </c:pt>
                <c:pt idx="4">
                  <c:v>1.8411987342189576E-3</c:v>
                </c:pt>
                <c:pt idx="5">
                  <c:v>3.3123340579210386E-4</c:v>
                </c:pt>
              </c:numCache>
            </c:numRef>
          </c:val>
          <c:extLst>
            <c:ext xmlns:c16="http://schemas.microsoft.com/office/drawing/2014/chart" uri="{C3380CC4-5D6E-409C-BE32-E72D297353CC}">
              <c16:uniqueId val="{00000004-4E52-4AF1-8A14-FC787E99B3D9}"/>
            </c:ext>
          </c:extLst>
        </c:ser>
        <c:ser>
          <c:idx val="6"/>
          <c:order val="5"/>
          <c:tx>
            <c:strRef>
              <c:f>'[Tablas y Gráficos.xlsx]CEQ 2019 - Resultados'!$C$76</c:f>
              <c:strCache>
                <c:ptCount val="1"/>
                <c:pt idx="0">
                  <c:v>Indirect Taxes - IGV</c:v>
                </c:pt>
              </c:strCache>
            </c:strRef>
          </c:tx>
          <c:spPr>
            <a:solidFill>
              <a:schemeClr val="accent2">
                <a:lumMod val="40000"/>
                <a:lumOff val="60000"/>
              </a:schemeClr>
            </a:solidFill>
            <a:ln>
              <a:solidFill>
                <a:schemeClr val="tx1"/>
              </a:solidFill>
            </a:ln>
            <a:effectLst/>
          </c:spPr>
          <c:invertIfNegative val="0"/>
          <c:cat>
            <c:strRef>
              <c:f>'[Tablas y Gráficos.xlsx]CEQ 2019 - Resultados'!$D$70:$I$70</c:f>
              <c:strCache>
                <c:ptCount val="6"/>
                <c:pt idx="0">
                  <c:v>National</c:v>
                </c:pt>
                <c:pt idx="1">
                  <c:v>Q1</c:v>
                </c:pt>
                <c:pt idx="2">
                  <c:v>Q2</c:v>
                </c:pt>
                <c:pt idx="3">
                  <c:v>Q3</c:v>
                </c:pt>
                <c:pt idx="4">
                  <c:v>Q4</c:v>
                </c:pt>
                <c:pt idx="5">
                  <c:v>Q5</c:v>
                </c:pt>
              </c:strCache>
            </c:strRef>
          </c:cat>
          <c:val>
            <c:numRef>
              <c:f>'[Tablas y Gráficos.xlsx]CEQ 2019 - Resultados'!$D$76:$I$76</c:f>
              <c:numCache>
                <c:formatCode>0.0%</c:formatCode>
                <c:ptCount val="6"/>
                <c:pt idx="0">
                  <c:v>-7.8143192764924652E-2</c:v>
                </c:pt>
                <c:pt idx="1">
                  <c:v>-9.0651473544251723E-2</c:v>
                </c:pt>
                <c:pt idx="2">
                  <c:v>-8.5269525462113333E-2</c:v>
                </c:pt>
                <c:pt idx="3">
                  <c:v>-8.298692010166088E-2</c:v>
                </c:pt>
                <c:pt idx="4">
                  <c:v>-7.8971834354288353E-2</c:v>
                </c:pt>
                <c:pt idx="5">
                  <c:v>-7.2243246751507326E-2</c:v>
                </c:pt>
              </c:numCache>
            </c:numRef>
          </c:val>
          <c:extLst>
            <c:ext xmlns:c16="http://schemas.microsoft.com/office/drawing/2014/chart" uri="{C3380CC4-5D6E-409C-BE32-E72D297353CC}">
              <c16:uniqueId val="{00000005-4E52-4AF1-8A14-FC787E99B3D9}"/>
            </c:ext>
          </c:extLst>
        </c:ser>
        <c:ser>
          <c:idx val="7"/>
          <c:order val="6"/>
          <c:tx>
            <c:strRef>
              <c:f>'[Tablas y Gráficos.xlsx]CEQ 2019 - Resultados'!$C$77</c:f>
              <c:strCache>
                <c:ptCount val="1"/>
                <c:pt idx="0">
                  <c:v>Indirect Taxes - ISC</c:v>
                </c:pt>
              </c:strCache>
            </c:strRef>
          </c:tx>
          <c:spPr>
            <a:solidFill>
              <a:schemeClr val="accent2">
                <a:lumMod val="50000"/>
              </a:schemeClr>
            </a:solidFill>
            <a:ln>
              <a:solidFill>
                <a:schemeClr val="tx1"/>
              </a:solidFill>
            </a:ln>
            <a:effectLst/>
          </c:spPr>
          <c:invertIfNegative val="0"/>
          <c:cat>
            <c:strRef>
              <c:f>'[Tablas y Gráficos.xlsx]CEQ 2019 - Resultados'!$D$70:$I$70</c:f>
              <c:strCache>
                <c:ptCount val="6"/>
                <c:pt idx="0">
                  <c:v>National</c:v>
                </c:pt>
                <c:pt idx="1">
                  <c:v>Q1</c:v>
                </c:pt>
                <c:pt idx="2">
                  <c:v>Q2</c:v>
                </c:pt>
                <c:pt idx="3">
                  <c:v>Q3</c:v>
                </c:pt>
                <c:pt idx="4">
                  <c:v>Q4</c:v>
                </c:pt>
                <c:pt idx="5">
                  <c:v>Q5</c:v>
                </c:pt>
              </c:strCache>
            </c:strRef>
          </c:cat>
          <c:val>
            <c:numRef>
              <c:f>'[Tablas y Gráficos.xlsx]CEQ 2019 - Resultados'!$D$77:$I$77</c:f>
              <c:numCache>
                <c:formatCode>0.0%</c:formatCode>
                <c:ptCount val="6"/>
                <c:pt idx="0">
                  <c:v>-6.157217065729106E-4</c:v>
                </c:pt>
                <c:pt idx="1">
                  <c:v>-4.5185455982039952E-4</c:v>
                </c:pt>
                <c:pt idx="2">
                  <c:v>-4.2109563096758956E-4</c:v>
                </c:pt>
                <c:pt idx="3">
                  <c:v>-4.0206660432423765E-4</c:v>
                </c:pt>
                <c:pt idx="4">
                  <c:v>-4.5729187785832273E-4</c:v>
                </c:pt>
                <c:pt idx="5">
                  <c:v>-8.6622887326682347E-4</c:v>
                </c:pt>
              </c:numCache>
            </c:numRef>
          </c:val>
          <c:extLst>
            <c:ext xmlns:c16="http://schemas.microsoft.com/office/drawing/2014/chart" uri="{C3380CC4-5D6E-409C-BE32-E72D297353CC}">
              <c16:uniqueId val="{00000006-4E52-4AF1-8A14-FC787E99B3D9}"/>
            </c:ext>
          </c:extLst>
        </c:ser>
        <c:ser>
          <c:idx val="8"/>
          <c:order val="7"/>
          <c:tx>
            <c:strRef>
              <c:f>'[Tablas y Gráficos.xlsx]CEQ 2019 - Resultados'!$C$78</c:f>
              <c:strCache>
                <c:ptCount val="1"/>
                <c:pt idx="0">
                  <c:v>Health</c:v>
                </c:pt>
              </c:strCache>
            </c:strRef>
          </c:tx>
          <c:spPr>
            <a:solidFill>
              <a:schemeClr val="tx1"/>
            </a:solidFill>
            <a:ln>
              <a:solidFill>
                <a:schemeClr val="tx1"/>
              </a:solidFill>
            </a:ln>
            <a:effectLst/>
          </c:spPr>
          <c:invertIfNegative val="0"/>
          <c:cat>
            <c:strRef>
              <c:f>'[Tablas y Gráficos.xlsx]CEQ 2019 - Resultados'!$D$70:$I$70</c:f>
              <c:strCache>
                <c:ptCount val="6"/>
                <c:pt idx="0">
                  <c:v>National</c:v>
                </c:pt>
                <c:pt idx="1">
                  <c:v>Q1</c:v>
                </c:pt>
                <c:pt idx="2">
                  <c:v>Q2</c:v>
                </c:pt>
                <c:pt idx="3">
                  <c:v>Q3</c:v>
                </c:pt>
                <c:pt idx="4">
                  <c:v>Q4</c:v>
                </c:pt>
                <c:pt idx="5">
                  <c:v>Q5</c:v>
                </c:pt>
              </c:strCache>
            </c:strRef>
          </c:cat>
          <c:val>
            <c:numRef>
              <c:f>'[Tablas y Gráficos.xlsx]CEQ 2019 - Resultados'!$D$78:$I$78</c:f>
              <c:numCache>
                <c:formatCode>0.0%</c:formatCode>
                <c:ptCount val="6"/>
                <c:pt idx="0">
                  <c:v>1.9068022264866143E-2</c:v>
                </c:pt>
                <c:pt idx="1">
                  <c:v>7.042344263943584E-2</c:v>
                </c:pt>
                <c:pt idx="2">
                  <c:v>3.5733227260539215E-2</c:v>
                </c:pt>
                <c:pt idx="3">
                  <c:v>2.5754540684894862E-2</c:v>
                </c:pt>
                <c:pt idx="4">
                  <c:v>1.7814232754262499E-2</c:v>
                </c:pt>
                <c:pt idx="5">
                  <c:v>6.2782916624132355E-3</c:v>
                </c:pt>
              </c:numCache>
            </c:numRef>
          </c:val>
          <c:extLst>
            <c:ext xmlns:c16="http://schemas.microsoft.com/office/drawing/2014/chart" uri="{C3380CC4-5D6E-409C-BE32-E72D297353CC}">
              <c16:uniqueId val="{00000007-4E52-4AF1-8A14-FC787E99B3D9}"/>
            </c:ext>
          </c:extLst>
        </c:ser>
        <c:ser>
          <c:idx val="9"/>
          <c:order val="8"/>
          <c:tx>
            <c:strRef>
              <c:f>'[Tablas y Gráficos.xlsx]CEQ 2019 - Resultados'!$C$79</c:f>
              <c:strCache>
                <c:ptCount val="1"/>
                <c:pt idx="0">
                  <c:v>Education</c:v>
                </c:pt>
              </c:strCache>
            </c:strRef>
          </c:tx>
          <c:spPr>
            <a:solidFill>
              <a:schemeClr val="accent3">
                <a:lumMod val="40000"/>
                <a:lumOff val="60000"/>
              </a:schemeClr>
            </a:solidFill>
            <a:ln>
              <a:solidFill>
                <a:schemeClr val="tx1"/>
              </a:solidFill>
            </a:ln>
            <a:effectLst/>
          </c:spPr>
          <c:invertIfNegative val="0"/>
          <c:cat>
            <c:strRef>
              <c:f>'[Tablas y Gráficos.xlsx]CEQ 2019 - Resultados'!$D$70:$I$70</c:f>
              <c:strCache>
                <c:ptCount val="6"/>
                <c:pt idx="0">
                  <c:v>National</c:v>
                </c:pt>
                <c:pt idx="1">
                  <c:v>Q1</c:v>
                </c:pt>
                <c:pt idx="2">
                  <c:v>Q2</c:v>
                </c:pt>
                <c:pt idx="3">
                  <c:v>Q3</c:v>
                </c:pt>
                <c:pt idx="4">
                  <c:v>Q4</c:v>
                </c:pt>
                <c:pt idx="5">
                  <c:v>Q5</c:v>
                </c:pt>
              </c:strCache>
            </c:strRef>
          </c:cat>
          <c:val>
            <c:numRef>
              <c:f>'[Tablas y Gráficos.xlsx]CEQ 2019 - Resultados'!$D$79:$I$79</c:f>
              <c:numCache>
                <c:formatCode>0.0%</c:formatCode>
                <c:ptCount val="6"/>
                <c:pt idx="0">
                  <c:v>7.4872103747951529E-2</c:v>
                </c:pt>
                <c:pt idx="1">
                  <c:v>0.4542607587386554</c:v>
                </c:pt>
                <c:pt idx="2">
                  <c:v>0.18991974800078276</c:v>
                </c:pt>
                <c:pt idx="3">
                  <c:v>9.05962813683973E-2</c:v>
                </c:pt>
                <c:pt idx="4">
                  <c:v>4.2378291830105851E-2</c:v>
                </c:pt>
                <c:pt idx="5">
                  <c:v>9.6038199131125573E-3</c:v>
                </c:pt>
              </c:numCache>
            </c:numRef>
          </c:val>
          <c:extLst>
            <c:ext xmlns:c16="http://schemas.microsoft.com/office/drawing/2014/chart" uri="{C3380CC4-5D6E-409C-BE32-E72D297353CC}">
              <c16:uniqueId val="{00000008-4E52-4AF1-8A14-FC787E99B3D9}"/>
            </c:ext>
          </c:extLst>
        </c:ser>
        <c:dLbls>
          <c:showLegendKey val="0"/>
          <c:showVal val="0"/>
          <c:showCatName val="0"/>
          <c:showSerName val="0"/>
          <c:showPercent val="0"/>
          <c:showBubbleSize val="0"/>
        </c:dLbls>
        <c:gapWidth val="150"/>
        <c:overlap val="100"/>
        <c:axId val="1823585232"/>
        <c:axId val="1823586480"/>
      </c:barChart>
      <c:lineChart>
        <c:grouping val="standard"/>
        <c:varyColors val="0"/>
        <c:ser>
          <c:idx val="10"/>
          <c:order val="9"/>
          <c:tx>
            <c:strRef>
              <c:f>'[Tablas y Gráficos.xlsx]CEQ 2019 - Resultados'!$C$80</c:f>
              <c:strCache>
                <c:ptCount val="1"/>
                <c:pt idx="0">
                  <c:v>Monetary Impact</c:v>
                </c:pt>
              </c:strCache>
            </c:strRef>
          </c:tx>
          <c:spPr>
            <a:ln w="25400" cap="rnd">
              <a:noFill/>
              <a:round/>
            </a:ln>
            <a:effectLst/>
          </c:spPr>
          <c:marker>
            <c:symbol val="circle"/>
            <c:size val="7"/>
            <c:spPr>
              <a:noFill/>
              <a:ln w="25400">
                <a:solidFill>
                  <a:srgbClr val="002060"/>
                </a:solidFill>
              </a:ln>
              <a:effectLst/>
            </c:spPr>
          </c:marker>
          <c:cat>
            <c:strRef>
              <c:f>'[Tablas y Gráficos.xlsx]CEQ 2019 - Resultados'!$D$70:$I$70</c:f>
              <c:strCache>
                <c:ptCount val="6"/>
                <c:pt idx="0">
                  <c:v>National</c:v>
                </c:pt>
                <c:pt idx="1">
                  <c:v>Q1</c:v>
                </c:pt>
                <c:pt idx="2">
                  <c:v>Q2</c:v>
                </c:pt>
                <c:pt idx="3">
                  <c:v>Q3</c:v>
                </c:pt>
                <c:pt idx="4">
                  <c:v>Q4</c:v>
                </c:pt>
                <c:pt idx="5">
                  <c:v>Q5</c:v>
                </c:pt>
              </c:strCache>
            </c:strRef>
          </c:cat>
          <c:val>
            <c:numRef>
              <c:f>'[Tablas y Gráficos.xlsx]CEQ 2019 - Resultados'!$D$80:$I$80</c:f>
              <c:numCache>
                <c:formatCode>0.0%</c:formatCode>
                <c:ptCount val="6"/>
                <c:pt idx="0">
                  <c:v>-7.4427684753019849E-2</c:v>
                </c:pt>
                <c:pt idx="1">
                  <c:v>2.3347224703356314E-2</c:v>
                </c:pt>
                <c:pt idx="2">
                  <c:v>-5.5898232857148809E-2</c:v>
                </c:pt>
                <c:pt idx="3">
                  <c:v>-6.8797819604633589E-2</c:v>
                </c:pt>
                <c:pt idx="4">
                  <c:v>-7.720860871603849E-2</c:v>
                </c:pt>
                <c:pt idx="5">
                  <c:v>-9.2110369519896526E-2</c:v>
                </c:pt>
              </c:numCache>
            </c:numRef>
          </c:val>
          <c:smooth val="0"/>
          <c:extLst>
            <c:ext xmlns:c16="http://schemas.microsoft.com/office/drawing/2014/chart" uri="{C3380CC4-5D6E-409C-BE32-E72D297353CC}">
              <c16:uniqueId val="{00000009-4E52-4AF1-8A14-FC787E99B3D9}"/>
            </c:ext>
          </c:extLst>
        </c:ser>
        <c:ser>
          <c:idx val="11"/>
          <c:order val="10"/>
          <c:tx>
            <c:strRef>
              <c:f>'[Tablas y Gráficos.xlsx]CEQ 2019 - Resultados'!$C$81</c:f>
              <c:strCache>
                <c:ptCount val="1"/>
                <c:pt idx="0">
                  <c:v>Total Impact</c:v>
                </c:pt>
              </c:strCache>
            </c:strRef>
          </c:tx>
          <c:spPr>
            <a:ln w="25400" cap="rnd">
              <a:noFill/>
              <a:round/>
            </a:ln>
            <a:effectLst/>
          </c:spPr>
          <c:marker>
            <c:symbol val="circle"/>
            <c:size val="7"/>
            <c:spPr>
              <a:solidFill>
                <a:schemeClr val="accent6">
                  <a:lumMod val="75000"/>
                </a:schemeClr>
              </a:solidFill>
              <a:ln w="9525">
                <a:noFill/>
              </a:ln>
              <a:effectLst/>
            </c:spPr>
          </c:marker>
          <c:cat>
            <c:strRef>
              <c:f>'[Tablas y Gráficos.xlsx]CEQ 2019 - Resultados'!$D$70:$I$70</c:f>
              <c:strCache>
                <c:ptCount val="6"/>
                <c:pt idx="0">
                  <c:v>National</c:v>
                </c:pt>
                <c:pt idx="1">
                  <c:v>Q1</c:v>
                </c:pt>
                <c:pt idx="2">
                  <c:v>Q2</c:v>
                </c:pt>
                <c:pt idx="3">
                  <c:v>Q3</c:v>
                </c:pt>
                <c:pt idx="4">
                  <c:v>Q4</c:v>
                </c:pt>
                <c:pt idx="5">
                  <c:v>Q5</c:v>
                </c:pt>
              </c:strCache>
            </c:strRef>
          </c:cat>
          <c:val>
            <c:numRef>
              <c:f>'[Tablas y Gráficos.xlsx]CEQ 2019 - Resultados'!$D$81:$I$81</c:f>
              <c:numCache>
                <c:formatCode>0.0%</c:formatCode>
                <c:ptCount val="6"/>
                <c:pt idx="0">
                  <c:v>2.3443252079029746E-2</c:v>
                </c:pt>
                <c:pt idx="1">
                  <c:v>0.57647287783666512</c:v>
                </c:pt>
                <c:pt idx="2">
                  <c:v>0.17971872251470264</c:v>
                </c:pt>
                <c:pt idx="3">
                  <c:v>5.189521300573785E-2</c:v>
                </c:pt>
                <c:pt idx="4">
                  <c:v>-1.5174885397451179E-2</c:v>
                </c:pt>
                <c:pt idx="5">
                  <c:v>-7.5897024538578592E-2</c:v>
                </c:pt>
              </c:numCache>
            </c:numRef>
          </c:val>
          <c:smooth val="0"/>
          <c:extLst>
            <c:ext xmlns:c16="http://schemas.microsoft.com/office/drawing/2014/chart" uri="{C3380CC4-5D6E-409C-BE32-E72D297353CC}">
              <c16:uniqueId val="{0000000A-4E52-4AF1-8A14-FC787E99B3D9}"/>
            </c:ext>
          </c:extLst>
        </c:ser>
        <c:dLbls>
          <c:showLegendKey val="0"/>
          <c:showVal val="0"/>
          <c:showCatName val="0"/>
          <c:showSerName val="0"/>
          <c:showPercent val="0"/>
          <c:showBubbleSize val="0"/>
        </c:dLbls>
        <c:marker val="1"/>
        <c:smooth val="0"/>
        <c:axId val="1823585232"/>
        <c:axId val="1823586480"/>
      </c:lineChart>
      <c:catAx>
        <c:axId val="1823585232"/>
        <c:scaling>
          <c:orientation val="minMax"/>
        </c:scaling>
        <c:delete val="0"/>
        <c:axPos val="b"/>
        <c:numFmt formatCode="General" sourceLinked="1"/>
        <c:majorTickMark val="out"/>
        <c:minorTickMark val="none"/>
        <c:tickLblPos val="low"/>
        <c:spPr>
          <a:noFill/>
          <a:ln w="9525" cap="flat" cmpd="sng" algn="ctr">
            <a:solidFill>
              <a:schemeClr val="tx1"/>
            </a:solidFill>
            <a:round/>
          </a:ln>
          <a:effectLst/>
        </c:spPr>
        <c:txPr>
          <a:bodyPr rot="-60000000" spcFirstLastPara="1" vertOverflow="ellipsis" vert="horz" wrap="square" anchor="ctr" anchorCtr="1"/>
          <a:lstStyle/>
          <a:p>
            <a:pPr>
              <a:defRPr sz="950" b="0" i="0" u="none" strike="noStrike" kern="1200" baseline="0">
                <a:solidFill>
                  <a:sysClr val="windowText" lastClr="000000"/>
                </a:solidFill>
                <a:latin typeface="+mn-lt"/>
                <a:ea typeface="+mn-ea"/>
                <a:cs typeface="+mn-cs"/>
              </a:defRPr>
            </a:pPr>
            <a:endParaRPr lang="en-US"/>
          </a:p>
        </c:txPr>
        <c:crossAx val="1823586480"/>
        <c:crosses val="autoZero"/>
        <c:auto val="1"/>
        <c:lblAlgn val="ctr"/>
        <c:lblOffset val="100"/>
        <c:noMultiLvlLbl val="0"/>
      </c:catAx>
      <c:valAx>
        <c:axId val="1823586480"/>
        <c:scaling>
          <c:orientation val="minMax"/>
          <c:min val="-0.1"/>
        </c:scaling>
        <c:delete val="0"/>
        <c:axPos val="l"/>
        <c:majorGridlines>
          <c:spPr>
            <a:ln w="3175" cap="flat" cmpd="sng" algn="ctr">
              <a:solidFill>
                <a:schemeClr val="bg1">
                  <a:lumMod val="85000"/>
                </a:schemeClr>
              </a:solidFill>
              <a:prstDash val="dash"/>
              <a:round/>
            </a:ln>
            <a:effectLst/>
          </c:spPr>
        </c:majorGridlines>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50" b="0" i="0" u="none" strike="noStrike" kern="1200" baseline="0">
                <a:solidFill>
                  <a:sysClr val="windowText" lastClr="000000"/>
                </a:solidFill>
                <a:latin typeface="+mn-lt"/>
                <a:ea typeface="+mn-ea"/>
                <a:cs typeface="+mn-cs"/>
              </a:defRPr>
            </a:pPr>
            <a:endParaRPr lang="en-US"/>
          </a:p>
        </c:txPr>
        <c:crossAx val="1823585232"/>
        <c:crosses val="autoZero"/>
        <c:crossBetween val="between"/>
      </c:valAx>
      <c:spPr>
        <a:noFill/>
        <a:ln>
          <a:noFill/>
        </a:ln>
        <a:effectLst/>
      </c:spPr>
    </c:plotArea>
    <c:legend>
      <c:legendPos val="r"/>
      <c:layout>
        <c:manualLayout>
          <c:xMode val="edge"/>
          <c:yMode val="edge"/>
          <c:x val="0.74726532814785018"/>
          <c:y val="2.2843539356634798E-2"/>
          <c:w val="0.25090921572759611"/>
          <c:h val="0.92869992905733123"/>
        </c:manualLayout>
      </c:layout>
      <c:overlay val="0"/>
      <c:spPr>
        <a:noFill/>
        <a:ln>
          <a:noFill/>
        </a:ln>
        <a:effectLst/>
      </c:spPr>
      <c:txPr>
        <a:bodyPr rot="0" spcFirstLastPara="1" vertOverflow="ellipsis" vert="horz" wrap="square" anchor="ctr" anchorCtr="1"/>
        <a:lstStyle/>
        <a:p>
          <a:pPr>
            <a:defRPr sz="85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4.5277596114439191E-2"/>
          <c:y val="2.6162093374691799E-2"/>
          <c:w val="0.93524110776966674"/>
          <c:h val="0.68849153529943175"/>
        </c:manualLayout>
      </c:layout>
      <c:barChart>
        <c:barDir val="col"/>
        <c:grouping val="clustered"/>
        <c:varyColors val="0"/>
        <c:ser>
          <c:idx val="0"/>
          <c:order val="0"/>
          <c:tx>
            <c:strRef>
              <c:f>'Resultados - Clas. Demográfica'!$D$6</c:f>
              <c:strCache>
                <c:ptCount val="1"/>
                <c:pt idx="0">
                  <c:v>Prefiscal income</c:v>
                </c:pt>
              </c:strCache>
            </c:strRef>
          </c:tx>
          <c:spPr>
            <a:solidFill>
              <a:schemeClr val="accent1">
                <a:lumMod val="50000"/>
              </a:schemeClr>
            </a:solidFill>
            <a:ln>
              <a:noFill/>
            </a:ln>
            <a:effectLst/>
          </c:spPr>
          <c:invertIfNegative val="0"/>
          <c:dLbls>
            <c:dLbl>
              <c:idx val="0"/>
              <c:layout>
                <c:manualLayout>
                  <c:x val="-1.212121212121212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F54-4DA0-B8DA-885427E9AEC1}"/>
                </c:ext>
              </c:extLst>
            </c:dLbl>
            <c:dLbl>
              <c:idx val="1"/>
              <c:layout>
                <c:manualLayout>
                  <c:x val="-8.1599347205222363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F54-4DA0-B8DA-885427E9AEC1}"/>
                </c:ext>
              </c:extLst>
            </c:dLbl>
            <c:dLbl>
              <c:idx val="2"/>
              <c:layout>
                <c:manualLayout>
                  <c:x val="-6.119951040391714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F54-4DA0-B8DA-885427E9AEC1}"/>
                </c:ext>
              </c:extLst>
            </c:dLbl>
            <c:dLbl>
              <c:idx val="5"/>
              <c:layout>
                <c:manualLayout>
                  <c:x val="-6.1199510403918264E-3"/>
                  <c:y val="4.09019689306060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F54-4DA0-B8DA-885427E9AEC1}"/>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j-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'Resultados - Clas. Demográfica'!$F$3:$L$3</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'Resultados - Clas. Demográfica'!$F$6:$L$6</c:f>
              <c:numCache>
                <c:formatCode>0.0%</c:formatCode>
                <c:ptCount val="7"/>
                <c:pt idx="0">
                  <c:v>0.32864173684118003</c:v>
                </c:pt>
                <c:pt idx="1">
                  <c:v>0.20031193466307415</c:v>
                </c:pt>
                <c:pt idx="2">
                  <c:v>0.32973681526247356</c:v>
                </c:pt>
                <c:pt idx="3">
                  <c:v>0.13526971512440175</c:v>
                </c:pt>
                <c:pt idx="4">
                  <c:v>0.2638228585692548</c:v>
                </c:pt>
                <c:pt idx="5">
                  <c:v>0.18653702824269022</c:v>
                </c:pt>
                <c:pt idx="6">
                  <c:v>7.8895599730600743E-2</c:v>
                </c:pt>
              </c:numCache>
            </c:numRef>
          </c:val>
          <c:extLst>
            <c:ext xmlns:c16="http://schemas.microsoft.com/office/drawing/2014/chart" uri="{C3380CC4-5D6E-409C-BE32-E72D297353CC}">
              <c16:uniqueId val="{00000004-AF54-4DA0-B8DA-885427E9AEC1}"/>
            </c:ext>
          </c:extLst>
        </c:ser>
        <c:ser>
          <c:idx val="3"/>
          <c:order val="1"/>
          <c:tx>
            <c:strRef>
              <c:f>'Resultados - Clas. Demográfica'!$D$9</c:f>
              <c:strCache>
                <c:ptCount val="1"/>
                <c:pt idx="0">
                  <c:v>Postfiscal income</c:v>
                </c:pt>
              </c:strCache>
            </c:strRef>
          </c:tx>
          <c:spPr>
            <a:solidFill>
              <a:schemeClr val="accent1">
                <a:lumMod val="20000"/>
                <a:lumOff val="80000"/>
              </a:schemeClr>
            </a:solidFill>
            <a:ln>
              <a:noFill/>
            </a:ln>
            <a:effectLst/>
          </c:spPr>
          <c:invertIfNegative val="0"/>
          <c:dLbls>
            <c:dLbl>
              <c:idx val="0"/>
              <c:layout>
                <c:manualLayout>
                  <c:x val="1.2239902080783335E-2"/>
                  <c:y val="1.22705906791820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F54-4DA0-B8DA-885427E9AEC1}"/>
                </c:ext>
              </c:extLst>
            </c:dLbl>
            <c:dLbl>
              <c:idx val="1"/>
              <c:layout>
                <c:manualLayout>
                  <c:x val="1.0199918400652794E-2"/>
                  <c:y val="4.090196893060674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F54-4DA0-B8DA-885427E9AEC1}"/>
                </c:ext>
              </c:extLst>
            </c:dLbl>
            <c:dLbl>
              <c:idx val="2"/>
              <c:layout>
                <c:manualLayout>
                  <c:x val="1.4279885760913913E-2"/>
                  <c:y val="5.5168263202768448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F54-4DA0-B8DA-885427E9AEC1}"/>
                </c:ext>
              </c:extLst>
            </c:dLbl>
            <c:dLbl>
              <c:idx val="3"/>
              <c:layout>
                <c:manualLayout>
                  <c:x val="8.1599347205221617E-3"/>
                  <c:y val="1.63607875722426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F54-4DA0-B8DA-885427E9AEC1}"/>
                </c:ext>
              </c:extLst>
            </c:dLbl>
            <c:dLbl>
              <c:idx val="4"/>
              <c:layout>
                <c:manualLayout>
                  <c:x val="8.1599347205222363E-3"/>
                  <c:y val="4.09019689306060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F54-4DA0-B8DA-885427E9AEC1}"/>
                </c:ext>
              </c:extLst>
            </c:dLbl>
            <c:dLbl>
              <c:idx val="5"/>
              <c:layout>
                <c:manualLayout>
                  <c:x val="1.2239902080783354E-2"/>
                  <c:y val="4.090196893060674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F54-4DA0-B8DA-885427E9AEC1}"/>
                </c:ext>
              </c:extLst>
            </c:dLbl>
            <c:dLbl>
              <c:idx val="6"/>
              <c:layout>
                <c:manualLayout>
                  <c:x val="6.1199510403916772E-3"/>
                  <c:y val="1.22705906791819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F54-4DA0-B8DA-885427E9AEC1}"/>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j-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'Resultados - Clas. Demográfica'!$F$3:$L$3</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'Resultados - Clas. Demográfica'!$F$9:$L$9</c:f>
              <c:numCache>
                <c:formatCode>0.0%</c:formatCode>
                <c:ptCount val="7"/>
                <c:pt idx="0">
                  <c:v>0.35128750690816413</c:v>
                </c:pt>
                <c:pt idx="1">
                  <c:v>0.22850392462868785</c:v>
                </c:pt>
                <c:pt idx="2">
                  <c:v>0.33351859611481321</c:v>
                </c:pt>
                <c:pt idx="3">
                  <c:v>0.12177631052049871</c:v>
                </c:pt>
                <c:pt idx="4">
                  <c:v>0.18128071166074769</c:v>
                </c:pt>
                <c:pt idx="5">
                  <c:v>0.20743244120364163</c:v>
                </c:pt>
                <c:pt idx="6">
                  <c:v>8.947710463283548E-2</c:v>
                </c:pt>
              </c:numCache>
            </c:numRef>
          </c:val>
          <c:extLst>
            <c:ext xmlns:c16="http://schemas.microsoft.com/office/drawing/2014/chart" uri="{C3380CC4-5D6E-409C-BE32-E72D297353CC}">
              <c16:uniqueId val="{0000000C-AF54-4DA0-B8DA-885427E9AEC1}"/>
            </c:ext>
          </c:extLst>
        </c:ser>
        <c:dLbls>
          <c:showLegendKey val="0"/>
          <c:showVal val="0"/>
          <c:showCatName val="0"/>
          <c:showSerName val="0"/>
          <c:showPercent val="0"/>
          <c:showBubbleSize val="0"/>
        </c:dLbls>
        <c:gapWidth val="150"/>
        <c:axId val="1545733360"/>
        <c:axId val="1545722544"/>
        <c:extLst/>
      </c:barChart>
      <c:catAx>
        <c:axId val="1545733360"/>
        <c:scaling>
          <c:orientation val="minMax"/>
        </c:scaling>
        <c:delete val="0"/>
        <c:axPos val="b"/>
        <c:numFmt formatCode="General" sourceLinked="1"/>
        <c:majorTickMark val="out"/>
        <c:minorTickMark val="none"/>
        <c:tickLblPos val="nextTo"/>
        <c:spPr>
          <a:noFill/>
          <a:ln w="9525" cap="flat" cmpd="sng" algn="ctr">
            <a:solidFill>
              <a:srgbClr val="002060"/>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j-lt"/>
                <a:ea typeface="+mn-ea"/>
                <a:cs typeface="+mn-cs"/>
              </a:defRPr>
            </a:pPr>
            <a:endParaRPr lang="en-US"/>
          </a:p>
        </c:txPr>
        <c:crossAx val="1545722544"/>
        <c:crosses val="autoZero"/>
        <c:auto val="1"/>
        <c:lblAlgn val="ctr"/>
        <c:lblOffset val="100"/>
        <c:noMultiLvlLbl val="0"/>
      </c:catAx>
      <c:valAx>
        <c:axId val="1545722544"/>
        <c:scaling>
          <c:orientation val="minMax"/>
          <c:max val="0.4"/>
        </c:scaling>
        <c:delete val="1"/>
        <c:axPos val="l"/>
        <c:numFmt formatCode="0%" sourceLinked="0"/>
        <c:majorTickMark val="out"/>
        <c:minorTickMark val="none"/>
        <c:tickLblPos val="nextTo"/>
        <c:crossAx val="1545733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mj-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sz="1050">
          <a:solidFill>
            <a:sysClr val="windowText" lastClr="000000"/>
          </a:solidFill>
          <a:latin typeface="+mj-lt"/>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3.4203329577402415E-2"/>
          <c:y val="6.869230230109627E-2"/>
          <c:w val="0.93524110776966674"/>
          <c:h val="0.74426886851062046"/>
        </c:manualLayout>
      </c:layout>
      <c:barChart>
        <c:barDir val="col"/>
        <c:grouping val="clustered"/>
        <c:varyColors val="0"/>
        <c:ser>
          <c:idx val="0"/>
          <c:order val="0"/>
          <c:tx>
            <c:strRef>
              <c:f>'[Tablas y Gráficos.xlsx]Resultados - Clas. Demográfica'!$D$16</c:f>
              <c:strCache>
                <c:ptCount val="1"/>
                <c:pt idx="0">
                  <c:v>Prefiscal income</c:v>
                </c:pt>
              </c:strCache>
            </c:strRef>
          </c:tx>
          <c:spPr>
            <a:solidFill>
              <a:schemeClr val="accent1">
                <a:lumMod val="5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Demográfica'!$F$13:$L$13</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'[Tablas y Gráficos.xlsx]Resultados - Clas. Demográfica'!$F$16:$L$16</c:f>
              <c:numCache>
                <c:formatCode>0.0</c:formatCode>
                <c:ptCount val="7"/>
                <c:pt idx="0">
                  <c:v>45.418230000000001</c:v>
                </c:pt>
                <c:pt idx="1">
                  <c:v>36.48216</c:v>
                </c:pt>
                <c:pt idx="2">
                  <c:v>42.759229999999995</c:v>
                </c:pt>
                <c:pt idx="3">
                  <c:v>47.986400000000003</c:v>
                </c:pt>
                <c:pt idx="4">
                  <c:v>53.377609999999997</c:v>
                </c:pt>
                <c:pt idx="5">
                  <c:v>34.86533</c:v>
                </c:pt>
                <c:pt idx="6">
                  <c:v>39.65587</c:v>
                </c:pt>
              </c:numCache>
            </c:numRef>
          </c:val>
          <c:extLst>
            <c:ext xmlns:c16="http://schemas.microsoft.com/office/drawing/2014/chart" uri="{C3380CC4-5D6E-409C-BE32-E72D297353CC}">
              <c16:uniqueId val="{00000000-4F34-4EC9-AD31-C802B4433477}"/>
            </c:ext>
          </c:extLst>
        </c:ser>
        <c:ser>
          <c:idx val="3"/>
          <c:order val="1"/>
          <c:tx>
            <c:strRef>
              <c:f>'[Tablas y Gráficos.xlsx]Resultados - Clas. Demográfica'!$D$19</c:f>
              <c:strCache>
                <c:ptCount val="1"/>
                <c:pt idx="0">
                  <c:v>Postfiscal income</c:v>
                </c:pt>
              </c:strCache>
            </c:strRef>
          </c:tx>
          <c:spPr>
            <a:solidFill>
              <a:schemeClr val="accent1">
                <a:lumMod val="20000"/>
                <a:lumOff val="80000"/>
              </a:schemeClr>
            </a:solidFill>
            <a:ln>
              <a:noFill/>
            </a:ln>
            <a:effectLst/>
          </c:spPr>
          <c:invertIfNegative val="0"/>
          <c:dLbls>
            <c:dLbl>
              <c:idx val="0"/>
              <c:layout>
                <c:manualLayout>
                  <c:x val="6.1199510403916772E-3"/>
                  <c:y val="1.22705906791820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F34-4EC9-AD31-C802B4433477}"/>
                </c:ext>
              </c:extLst>
            </c:dLbl>
            <c:dLbl>
              <c:idx val="1"/>
              <c:layout>
                <c:manualLayout>
                  <c:x val="4.0799673602610808E-3"/>
                  <c:y val="8.18039378612131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F34-4EC9-AD31-C802B4433477}"/>
                </c:ext>
              </c:extLst>
            </c:dLbl>
            <c:dLbl>
              <c:idx val="2"/>
              <c:layout>
                <c:manualLayout>
                  <c:x val="2.039983680130484E-3"/>
                  <c:y val="8.18039378612131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F34-4EC9-AD31-C802B4433477}"/>
                </c:ext>
              </c:extLst>
            </c:dLbl>
            <c:dLbl>
              <c:idx val="4"/>
              <c:layout>
                <c:manualLayout>
                  <c:x val="4.0799673602610435E-3"/>
                  <c:y val="1.22705906791820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F34-4EC9-AD31-C802B4433477}"/>
                </c:ext>
              </c:extLst>
            </c:dLbl>
            <c:dLbl>
              <c:idx val="5"/>
              <c:layout>
                <c:manualLayout>
                  <c:x val="6.1199510403916772E-3"/>
                  <c:y val="1.22705906791820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F34-4EC9-AD31-C802B4433477}"/>
                </c:ext>
              </c:extLst>
            </c:dLbl>
            <c:dLbl>
              <c:idx val="6"/>
              <c:layout>
                <c:manualLayout>
                  <c:x val="4.0799673602611181E-3"/>
                  <c:y val="1.63607875722426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F34-4EC9-AD31-C802B4433477}"/>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Demográfica'!$F$13:$L$13</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'[Tablas y Gráficos.xlsx]Resultados - Clas. Demográfica'!$F$19:$L$19</c:f>
              <c:numCache>
                <c:formatCode>0.0</c:formatCode>
                <c:ptCount val="7"/>
                <c:pt idx="0">
                  <c:v>43.511960000000002</c:v>
                </c:pt>
                <c:pt idx="1">
                  <c:v>35.413640000000001</c:v>
                </c:pt>
                <c:pt idx="2">
                  <c:v>40.5593</c:v>
                </c:pt>
                <c:pt idx="3">
                  <c:v>46.710639999999998</c:v>
                </c:pt>
                <c:pt idx="4">
                  <c:v>49.107010000000002</c:v>
                </c:pt>
                <c:pt idx="5">
                  <c:v>34.043950000000002</c:v>
                </c:pt>
                <c:pt idx="6">
                  <c:v>39.162419999999997</c:v>
                </c:pt>
              </c:numCache>
            </c:numRef>
          </c:val>
          <c:extLst>
            <c:ext xmlns:c16="http://schemas.microsoft.com/office/drawing/2014/chart" uri="{C3380CC4-5D6E-409C-BE32-E72D297353CC}">
              <c16:uniqueId val="{00000007-4F34-4EC9-AD31-C802B4433477}"/>
            </c:ext>
          </c:extLst>
        </c:ser>
        <c:dLbls>
          <c:showLegendKey val="0"/>
          <c:showVal val="0"/>
          <c:showCatName val="0"/>
          <c:showSerName val="0"/>
          <c:showPercent val="0"/>
          <c:showBubbleSize val="0"/>
        </c:dLbls>
        <c:gapWidth val="150"/>
        <c:axId val="1545733360"/>
        <c:axId val="1545722544"/>
        <c:extLst/>
      </c:barChart>
      <c:catAx>
        <c:axId val="1545733360"/>
        <c:scaling>
          <c:orientation val="minMax"/>
        </c:scaling>
        <c:delete val="0"/>
        <c:axPos val="b"/>
        <c:numFmt formatCode="General" sourceLinked="1"/>
        <c:majorTickMark val="out"/>
        <c:minorTickMark val="none"/>
        <c:tickLblPos val="nextTo"/>
        <c:spPr>
          <a:noFill/>
          <a:ln w="9525" cap="flat" cmpd="sng" algn="ctr">
            <a:solidFill>
              <a:srgbClr val="002060"/>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1545722544"/>
        <c:crosses val="autoZero"/>
        <c:auto val="1"/>
        <c:lblAlgn val="ctr"/>
        <c:lblOffset val="100"/>
        <c:noMultiLvlLbl val="0"/>
      </c:catAx>
      <c:valAx>
        <c:axId val="1545722544"/>
        <c:scaling>
          <c:orientation val="minMax"/>
          <c:max val="55"/>
        </c:scaling>
        <c:delete val="1"/>
        <c:axPos val="l"/>
        <c:numFmt formatCode="#,##0.0" sourceLinked="0"/>
        <c:majorTickMark val="out"/>
        <c:minorTickMark val="none"/>
        <c:tickLblPos val="nextTo"/>
        <c:crossAx val="1545733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latin typeface="Calibri Light" panose="020F0302020204030204" pitchFamily="34" charset="0"/>
          <a:ea typeface="Calibri Light" panose="020F0302020204030204" pitchFamily="34" charset="0"/>
          <a:cs typeface="Calibri Light" panose="020F0302020204030204" pitchFamily="34" charset="0"/>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0502608806023593E-2"/>
          <c:y val="7.4791593883529059E-2"/>
          <c:w val="0.67878150723860242"/>
          <c:h val="0.79448093305742928"/>
        </c:manualLayout>
      </c:layout>
      <c:barChart>
        <c:barDir val="col"/>
        <c:grouping val="stacked"/>
        <c:varyColors val="0"/>
        <c:ser>
          <c:idx val="0"/>
          <c:order val="0"/>
          <c:tx>
            <c:strRef>
              <c:f>'[Tablas y Gráficos.xlsx]Resultados - Clas. Demográfica'!$D$127</c:f>
              <c:strCache>
                <c:ptCount val="1"/>
                <c:pt idx="0">
                  <c:v>Direct Taxes</c:v>
                </c:pt>
              </c:strCache>
            </c:strRef>
          </c:tx>
          <c:spPr>
            <a:solidFill>
              <a:schemeClr val="accent2">
                <a:lumMod val="75000"/>
              </a:schemeClr>
            </a:solidFill>
            <a:ln>
              <a:solidFill>
                <a:srgbClr val="002060"/>
              </a:solidFill>
            </a:ln>
            <a:effectLst/>
          </c:spPr>
          <c:invertIfNegative val="0"/>
          <c:cat>
            <c:strRef>
              <c:f>'[Tablas y Gráficos.xlsx]Resultados - Clas. Demográfica'!$F$125:$L$125</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'[Tablas y Gráficos.xlsx]Resultados - Clas. Demográfica'!$F$127:$L$127</c:f>
              <c:numCache>
                <c:formatCode>0.0%</c:formatCode>
                <c:ptCount val="7"/>
                <c:pt idx="0">
                  <c:v>-1.6445698340006275E-2</c:v>
                </c:pt>
                <c:pt idx="1">
                  <c:v>-1.0335140405793227E-2</c:v>
                </c:pt>
                <c:pt idx="2">
                  <c:v>-9.9109199166055907E-3</c:v>
                </c:pt>
                <c:pt idx="3">
                  <c:v>-1.4609435944258257E-2</c:v>
                </c:pt>
                <c:pt idx="4">
                  <c:v>-8.477861423807017E-3</c:v>
                </c:pt>
                <c:pt idx="5">
                  <c:v>-7.3738979195966904E-3</c:v>
                </c:pt>
                <c:pt idx="6">
                  <c:v>-1.595800737753646E-2</c:v>
                </c:pt>
              </c:numCache>
            </c:numRef>
          </c:val>
          <c:extLst>
            <c:ext xmlns:c16="http://schemas.microsoft.com/office/drawing/2014/chart" uri="{C3380CC4-5D6E-409C-BE32-E72D297353CC}">
              <c16:uniqueId val="{00000000-D5E7-4459-9371-77D6963DE2C9}"/>
            </c:ext>
          </c:extLst>
        </c:ser>
        <c:ser>
          <c:idx val="1"/>
          <c:order val="1"/>
          <c:tx>
            <c:strRef>
              <c:f>'[Tablas y Gráficos.xlsx]Resultados - Clas. Demográfica'!$D$128</c:f>
              <c:strCache>
                <c:ptCount val="1"/>
                <c:pt idx="0">
                  <c:v>JUNTOS</c:v>
                </c:pt>
              </c:strCache>
            </c:strRef>
          </c:tx>
          <c:spPr>
            <a:solidFill>
              <a:schemeClr val="accent5">
                <a:lumMod val="50000"/>
              </a:schemeClr>
            </a:solidFill>
            <a:ln>
              <a:solidFill>
                <a:srgbClr val="002060"/>
              </a:solidFill>
            </a:ln>
            <a:effectLst/>
          </c:spPr>
          <c:invertIfNegative val="0"/>
          <c:cat>
            <c:strRef>
              <c:f>'[Tablas y Gráficos.xlsx]Resultados - Clas. Demográfica'!$F$125:$L$125</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'[Tablas y Gráficos.xlsx]Resultados - Clas. Demográfica'!$F$128:$L$128</c:f>
              <c:numCache>
                <c:formatCode>0.0%</c:formatCode>
                <c:ptCount val="7"/>
                <c:pt idx="0">
                  <c:v>7.8453420001365383E-3</c:v>
                </c:pt>
                <c:pt idx="1">
                  <c:v>3.3647870014558707E-3</c:v>
                </c:pt>
                <c:pt idx="2">
                  <c:v>9.372253434719896E-3</c:v>
                </c:pt>
                <c:pt idx="3">
                  <c:v>1.3467090022899225E-4</c:v>
                </c:pt>
                <c:pt idx="4">
                  <c:v>6.5132075642690177E-5</c:v>
                </c:pt>
                <c:pt idx="5">
                  <c:v>2.3401373862408561E-3</c:v>
                </c:pt>
                <c:pt idx="6">
                  <c:v>1.3109164627646502E-4</c:v>
                </c:pt>
              </c:numCache>
            </c:numRef>
          </c:val>
          <c:extLst>
            <c:ext xmlns:c16="http://schemas.microsoft.com/office/drawing/2014/chart" uri="{C3380CC4-5D6E-409C-BE32-E72D297353CC}">
              <c16:uniqueId val="{00000001-D5E7-4459-9371-77D6963DE2C9}"/>
            </c:ext>
          </c:extLst>
        </c:ser>
        <c:ser>
          <c:idx val="2"/>
          <c:order val="2"/>
          <c:tx>
            <c:strRef>
              <c:f>'[Tablas y Gráficos.xlsx]Resultados - Clas. Demográfica'!$D$129</c:f>
              <c:strCache>
                <c:ptCount val="1"/>
                <c:pt idx="0">
                  <c:v>Pensión 65</c:v>
                </c:pt>
              </c:strCache>
            </c:strRef>
          </c:tx>
          <c:spPr>
            <a:solidFill>
              <a:schemeClr val="accent5">
                <a:lumMod val="75000"/>
              </a:schemeClr>
            </a:solidFill>
            <a:ln>
              <a:solidFill>
                <a:srgbClr val="002060"/>
              </a:solidFill>
            </a:ln>
            <a:effectLst/>
          </c:spPr>
          <c:invertIfNegative val="0"/>
          <c:cat>
            <c:strRef>
              <c:f>'[Tablas y Gráficos.xlsx]Resultados - Clas. Demográfica'!$F$125:$L$125</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'[Tablas y Gráficos.xlsx]Resultados - Clas. Demográfica'!$F$129:$L$129</c:f>
              <c:numCache>
                <c:formatCode>0.0%</c:formatCode>
                <c:ptCount val="7"/>
                <c:pt idx="0">
                  <c:v>0</c:v>
                </c:pt>
                <c:pt idx="1">
                  <c:v>4.0267868003531697E-4</c:v>
                </c:pt>
                <c:pt idx="2">
                  <c:v>4.3664482242065407E-3</c:v>
                </c:pt>
                <c:pt idx="3">
                  <c:v>5.6104697392868261E-3</c:v>
                </c:pt>
                <c:pt idx="4">
                  <c:v>4.1949202854736869E-2</c:v>
                </c:pt>
                <c:pt idx="5">
                  <c:v>2.6615245578202958E-3</c:v>
                </c:pt>
                <c:pt idx="6">
                  <c:v>8.4927503121449142E-4</c:v>
                </c:pt>
              </c:numCache>
            </c:numRef>
          </c:val>
          <c:extLst>
            <c:ext xmlns:c16="http://schemas.microsoft.com/office/drawing/2014/chart" uri="{C3380CC4-5D6E-409C-BE32-E72D297353CC}">
              <c16:uniqueId val="{00000002-D5E7-4459-9371-77D6963DE2C9}"/>
            </c:ext>
          </c:extLst>
        </c:ser>
        <c:ser>
          <c:idx val="3"/>
          <c:order val="3"/>
          <c:tx>
            <c:strRef>
              <c:f>'[Tablas y Gráficos.xlsx]Resultados - Clas. Demográfica'!$D$130</c:f>
              <c:strCache>
                <c:ptCount val="1"/>
                <c:pt idx="0">
                  <c:v>Other monetary transfers</c:v>
                </c:pt>
              </c:strCache>
            </c:strRef>
          </c:tx>
          <c:spPr>
            <a:solidFill>
              <a:schemeClr val="accent5">
                <a:lumMod val="60000"/>
                <a:lumOff val="40000"/>
              </a:schemeClr>
            </a:solidFill>
            <a:ln>
              <a:solidFill>
                <a:srgbClr val="002060"/>
              </a:solidFill>
            </a:ln>
            <a:effectLst/>
          </c:spPr>
          <c:invertIfNegative val="0"/>
          <c:cat>
            <c:strRef>
              <c:f>'[Tablas y Gráficos.xlsx]Resultados - Clas. Demográfica'!$F$125:$L$125</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'[Tablas y Gráficos.xlsx]Resultados - Clas. Demográfica'!$F$130:$L$130</c:f>
              <c:numCache>
                <c:formatCode>0.0%</c:formatCode>
                <c:ptCount val="7"/>
                <c:pt idx="0">
                  <c:v>4.8983515489906945E-3</c:v>
                </c:pt>
                <c:pt idx="1">
                  <c:v>7.8836842115040384E-3</c:v>
                </c:pt>
                <c:pt idx="2">
                  <c:v>1.2057425360994529E-2</c:v>
                </c:pt>
                <c:pt idx="3">
                  <c:v>2.1756460838657832E-2</c:v>
                </c:pt>
                <c:pt idx="4">
                  <c:v>3.670105494991302E-2</c:v>
                </c:pt>
                <c:pt idx="5">
                  <c:v>1.0018970240818438E-2</c:v>
                </c:pt>
                <c:pt idx="6">
                  <c:v>8.8880057619119841E-3</c:v>
                </c:pt>
              </c:numCache>
            </c:numRef>
          </c:val>
          <c:extLst>
            <c:ext xmlns:c16="http://schemas.microsoft.com/office/drawing/2014/chart" uri="{C3380CC4-5D6E-409C-BE32-E72D297353CC}">
              <c16:uniqueId val="{00000003-D5E7-4459-9371-77D6963DE2C9}"/>
            </c:ext>
          </c:extLst>
        </c:ser>
        <c:ser>
          <c:idx val="5"/>
          <c:order val="4"/>
          <c:tx>
            <c:strRef>
              <c:f>'[Tablas y Gráficos.xlsx]Resultados - Clas. Demográfica'!$D$131</c:f>
              <c:strCache>
                <c:ptCount val="1"/>
                <c:pt idx="0">
                  <c:v>Non-monetary public transfers</c:v>
                </c:pt>
              </c:strCache>
            </c:strRef>
          </c:tx>
          <c:spPr>
            <a:solidFill>
              <a:schemeClr val="accent5">
                <a:lumMod val="20000"/>
                <a:lumOff val="80000"/>
              </a:schemeClr>
            </a:solidFill>
            <a:ln>
              <a:solidFill>
                <a:srgbClr val="002060"/>
              </a:solidFill>
            </a:ln>
            <a:effectLst/>
          </c:spPr>
          <c:invertIfNegative val="0"/>
          <c:cat>
            <c:strRef>
              <c:f>'[Tablas y Gráficos.xlsx]Resultados - Clas. Demográfica'!$F$125:$L$125</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'[Tablas y Gráficos.xlsx]Resultados - Clas. Demográfica'!$F$131:$L$131</c:f>
              <c:numCache>
                <c:formatCode>0.0%</c:formatCode>
                <c:ptCount val="7"/>
                <c:pt idx="0">
                  <c:v>8.9468304983388175E-3</c:v>
                </c:pt>
                <c:pt idx="1">
                  <c:v>4.9874747449048674E-3</c:v>
                </c:pt>
                <c:pt idx="2">
                  <c:v>9.3877486647448959E-3</c:v>
                </c:pt>
                <c:pt idx="3">
                  <c:v>4.32152773919009E-4</c:v>
                </c:pt>
                <c:pt idx="4">
                  <c:v>5.9620469458945E-4</c:v>
                </c:pt>
                <c:pt idx="5">
                  <c:v>4.2797091346417722E-3</c:v>
                </c:pt>
                <c:pt idx="6">
                  <c:v>3.1400162784982834E-4</c:v>
                </c:pt>
              </c:numCache>
            </c:numRef>
          </c:val>
          <c:extLst>
            <c:ext xmlns:c16="http://schemas.microsoft.com/office/drawing/2014/chart" uri="{C3380CC4-5D6E-409C-BE32-E72D297353CC}">
              <c16:uniqueId val="{00000004-D5E7-4459-9371-77D6963DE2C9}"/>
            </c:ext>
          </c:extLst>
        </c:ser>
        <c:ser>
          <c:idx val="6"/>
          <c:order val="5"/>
          <c:tx>
            <c:strRef>
              <c:f>'[Tablas y Gráficos.xlsx]Resultados - Clas. Demográfica'!$D$132</c:f>
              <c:strCache>
                <c:ptCount val="1"/>
                <c:pt idx="0">
                  <c:v>Indirect Taxes - IGV</c:v>
                </c:pt>
              </c:strCache>
            </c:strRef>
          </c:tx>
          <c:spPr>
            <a:solidFill>
              <a:schemeClr val="accent2">
                <a:lumMod val="40000"/>
                <a:lumOff val="60000"/>
              </a:schemeClr>
            </a:solidFill>
            <a:ln w="9525">
              <a:solidFill>
                <a:srgbClr val="002060"/>
              </a:solidFill>
            </a:ln>
            <a:effectLst/>
          </c:spPr>
          <c:invertIfNegative val="0"/>
          <c:cat>
            <c:strRef>
              <c:f>'[Tablas y Gráficos.xlsx]Resultados - Clas. Demográfica'!$F$125:$L$125</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'[Tablas y Gráficos.xlsx]Resultados - Clas. Demográfica'!$F$132:$L$132</c:f>
              <c:numCache>
                <c:formatCode>0.0%</c:formatCode>
                <c:ptCount val="7"/>
                <c:pt idx="0">
                  <c:v>-8.0720711652180879E-2</c:v>
                </c:pt>
                <c:pt idx="1">
                  <c:v>-8.1296136313619274E-2</c:v>
                </c:pt>
                <c:pt idx="2">
                  <c:v>-7.954652546072534E-2</c:v>
                </c:pt>
                <c:pt idx="3">
                  <c:v>-7.6629169284011922E-2</c:v>
                </c:pt>
                <c:pt idx="4">
                  <c:v>-6.5062135437519292E-2</c:v>
                </c:pt>
                <c:pt idx="5">
                  <c:v>-7.9017905973624417E-2</c:v>
                </c:pt>
                <c:pt idx="6">
                  <c:v>-7.6142789434046759E-2</c:v>
                </c:pt>
              </c:numCache>
            </c:numRef>
          </c:val>
          <c:extLst>
            <c:ext xmlns:c16="http://schemas.microsoft.com/office/drawing/2014/chart" uri="{C3380CC4-5D6E-409C-BE32-E72D297353CC}">
              <c16:uniqueId val="{00000005-D5E7-4459-9371-77D6963DE2C9}"/>
            </c:ext>
          </c:extLst>
        </c:ser>
        <c:ser>
          <c:idx val="7"/>
          <c:order val="6"/>
          <c:tx>
            <c:strRef>
              <c:f>'[Tablas y Gráficos.xlsx]Resultados - Clas. Demográfica'!$D$133</c:f>
              <c:strCache>
                <c:ptCount val="1"/>
                <c:pt idx="0">
                  <c:v>Indirect Taxes - ISC</c:v>
                </c:pt>
              </c:strCache>
            </c:strRef>
          </c:tx>
          <c:spPr>
            <a:solidFill>
              <a:schemeClr val="accent2">
                <a:lumMod val="50000"/>
              </a:schemeClr>
            </a:solidFill>
            <a:ln w="9525">
              <a:solidFill>
                <a:srgbClr val="002060"/>
              </a:solidFill>
            </a:ln>
            <a:effectLst/>
          </c:spPr>
          <c:invertIfNegative val="0"/>
          <c:cat>
            <c:strRef>
              <c:f>'[Tablas y Gráficos.xlsx]Resultados - Clas. Demográfica'!$F$125:$L$125</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'[Tablas y Gráficos.xlsx]Resultados - Clas. Demográfica'!$F$133:$L$133</c:f>
              <c:numCache>
                <c:formatCode>0.0%</c:formatCode>
                <c:ptCount val="7"/>
                <c:pt idx="0">
                  <c:v>-7.7353062058495682E-4</c:v>
                </c:pt>
                <c:pt idx="1">
                  <c:v>-5.2952736257433396E-4</c:v>
                </c:pt>
                <c:pt idx="2">
                  <c:v>-3.4103218474379319E-4</c:v>
                </c:pt>
                <c:pt idx="3">
                  <c:v>-7.9295858026840989E-4</c:v>
                </c:pt>
                <c:pt idx="4">
                  <c:v>-5.7498211694540261E-4</c:v>
                </c:pt>
                <c:pt idx="5">
                  <c:v>-4.3494872456811134E-4</c:v>
                </c:pt>
                <c:pt idx="6">
                  <c:v>-6.4920531122405914E-4</c:v>
                </c:pt>
              </c:numCache>
            </c:numRef>
          </c:val>
          <c:extLst>
            <c:ext xmlns:c16="http://schemas.microsoft.com/office/drawing/2014/chart" uri="{C3380CC4-5D6E-409C-BE32-E72D297353CC}">
              <c16:uniqueId val="{00000006-D5E7-4459-9371-77D6963DE2C9}"/>
            </c:ext>
          </c:extLst>
        </c:ser>
        <c:ser>
          <c:idx val="8"/>
          <c:order val="7"/>
          <c:tx>
            <c:strRef>
              <c:f>'[Tablas y Gráficos.xlsx]Resultados - Clas. Demográfica'!$D$134</c:f>
              <c:strCache>
                <c:ptCount val="1"/>
                <c:pt idx="0">
                  <c:v>Health</c:v>
                </c:pt>
              </c:strCache>
            </c:strRef>
          </c:tx>
          <c:spPr>
            <a:solidFill>
              <a:schemeClr val="tx1"/>
            </a:solidFill>
            <a:ln w="9525">
              <a:solidFill>
                <a:srgbClr val="002060"/>
              </a:solidFill>
            </a:ln>
            <a:effectLst/>
          </c:spPr>
          <c:invertIfNegative val="0"/>
          <c:cat>
            <c:strRef>
              <c:f>'[Tablas y Gráficos.xlsx]Resultados - Clas. Demográfica'!$F$125:$L$125</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'[Tablas y Gráficos.xlsx]Resultados - Clas. Demográfica'!$F$134:$L$134</c:f>
              <c:numCache>
                <c:formatCode>0.0%</c:formatCode>
                <c:ptCount val="7"/>
                <c:pt idx="0">
                  <c:v>2.156209422713572E-2</c:v>
                </c:pt>
                <c:pt idx="1">
                  <c:v>1.7825349896482191E-2</c:v>
                </c:pt>
                <c:pt idx="2">
                  <c:v>2.3406314791095645E-2</c:v>
                </c:pt>
                <c:pt idx="3">
                  <c:v>1.8267081745889747E-2</c:v>
                </c:pt>
                <c:pt idx="4">
                  <c:v>3.7821649535007343E-2</c:v>
                </c:pt>
                <c:pt idx="5">
                  <c:v>2.1529111651724893E-2</c:v>
                </c:pt>
                <c:pt idx="6">
                  <c:v>1.2921861057170624E-2</c:v>
                </c:pt>
              </c:numCache>
            </c:numRef>
          </c:val>
          <c:extLst>
            <c:ext xmlns:c16="http://schemas.microsoft.com/office/drawing/2014/chart" uri="{C3380CC4-5D6E-409C-BE32-E72D297353CC}">
              <c16:uniqueId val="{00000007-D5E7-4459-9371-77D6963DE2C9}"/>
            </c:ext>
          </c:extLst>
        </c:ser>
        <c:ser>
          <c:idx val="9"/>
          <c:order val="8"/>
          <c:tx>
            <c:strRef>
              <c:f>'[Tablas y Gráficos.xlsx]Resultados - Clas. Demográfica'!$D$135</c:f>
              <c:strCache>
                <c:ptCount val="1"/>
                <c:pt idx="0">
                  <c:v>Education</c:v>
                </c:pt>
              </c:strCache>
            </c:strRef>
          </c:tx>
          <c:spPr>
            <a:solidFill>
              <a:schemeClr val="accent3">
                <a:lumMod val="40000"/>
                <a:lumOff val="60000"/>
              </a:schemeClr>
            </a:solidFill>
            <a:ln w="9525">
              <a:solidFill>
                <a:srgbClr val="002060"/>
              </a:solidFill>
            </a:ln>
            <a:effectLst/>
          </c:spPr>
          <c:invertIfNegative val="0"/>
          <c:cat>
            <c:strRef>
              <c:f>'[Tablas y Gráficos.xlsx]Resultados - Clas. Demográfica'!$F$125:$L$125</c:f>
              <c:strCache>
                <c:ptCount val="7"/>
                <c:pt idx="0">
                  <c:v>Nuclear</c:v>
                </c:pt>
                <c:pt idx="1">
                  <c:v>Extended nuclear</c:v>
                </c:pt>
                <c:pt idx="2">
                  <c:v>Single mother</c:v>
                </c:pt>
                <c:pt idx="3">
                  <c:v>Single adult</c:v>
                </c:pt>
                <c:pt idx="4">
                  <c:v>Elderly household</c:v>
                </c:pt>
                <c:pt idx="5">
                  <c:v>Other households with children</c:v>
                </c:pt>
                <c:pt idx="6">
                  <c:v>Other households without children</c:v>
                </c:pt>
              </c:strCache>
            </c:strRef>
          </c:cat>
          <c:val>
            <c:numRef>
              <c:f>'[Tablas y Gráficos.xlsx]Resultados - Clas. Demográfica'!$F$135:$L$135</c:f>
              <c:numCache>
                <c:formatCode>0.0%</c:formatCode>
                <c:ptCount val="7"/>
                <c:pt idx="0">
                  <c:v>0.13943612728461774</c:v>
                </c:pt>
                <c:pt idx="1">
                  <c:v>0.11129945494903912</c:v>
                </c:pt>
                <c:pt idx="2">
                  <c:v>0.16759653212566594</c:v>
                </c:pt>
                <c:pt idx="3">
                  <c:v>3.3124536808923997E-3</c:v>
                </c:pt>
                <c:pt idx="4">
                  <c:v>0</c:v>
                </c:pt>
                <c:pt idx="5">
                  <c:v>8.6766826085280274E-2</c:v>
                </c:pt>
                <c:pt idx="6">
                  <c:v>1.9314534090138682E-2</c:v>
                </c:pt>
              </c:numCache>
            </c:numRef>
          </c:val>
          <c:extLst>
            <c:ext xmlns:c16="http://schemas.microsoft.com/office/drawing/2014/chart" uri="{C3380CC4-5D6E-409C-BE32-E72D297353CC}">
              <c16:uniqueId val="{00000008-D5E7-4459-9371-77D6963DE2C9}"/>
            </c:ext>
          </c:extLst>
        </c:ser>
        <c:dLbls>
          <c:showLegendKey val="0"/>
          <c:showVal val="0"/>
          <c:showCatName val="0"/>
          <c:showSerName val="0"/>
          <c:showPercent val="0"/>
          <c:showBubbleSize val="0"/>
        </c:dLbls>
        <c:gapWidth val="150"/>
        <c:overlap val="100"/>
        <c:axId val="1823585232"/>
        <c:axId val="1823586480"/>
      </c:barChart>
      <c:lineChart>
        <c:grouping val="standard"/>
        <c:varyColors val="0"/>
        <c:ser>
          <c:idx val="10"/>
          <c:order val="9"/>
          <c:tx>
            <c:strRef>
              <c:f>'[Tablas y Gráficos.xlsx]Resultados - Clas. Demográfica'!$D$136</c:f>
              <c:strCache>
                <c:ptCount val="1"/>
                <c:pt idx="0">
                  <c:v>Monetary impact</c:v>
                </c:pt>
              </c:strCache>
            </c:strRef>
          </c:tx>
          <c:spPr>
            <a:ln w="25400" cap="rnd">
              <a:noFill/>
              <a:round/>
            </a:ln>
            <a:effectLst/>
          </c:spPr>
          <c:marker>
            <c:symbol val="circle"/>
            <c:size val="7"/>
            <c:spPr>
              <a:noFill/>
              <a:ln w="25400">
                <a:solidFill>
                  <a:srgbClr val="002060"/>
                </a:solidFill>
              </a:ln>
              <a:effectLst/>
            </c:spPr>
          </c:marker>
          <c:cat>
            <c:strRef>
              <c:f>'[Tablas y Gráficos.xlsx]Resultados - Clas. Demográfica'!$F$126:$L$126</c:f>
              <c:strCache>
                <c:ptCount val="7"/>
                <c:pt idx="0">
                  <c:v>Nuclear</c:v>
                </c:pt>
                <c:pt idx="1">
                  <c:v>Nuclear extendido</c:v>
                </c:pt>
                <c:pt idx="2">
                  <c:v>Madre soltera</c:v>
                </c:pt>
                <c:pt idx="3">
                  <c:v>Adulto soltero sin hijos</c:v>
                </c:pt>
                <c:pt idx="4">
                  <c:v>Adultos mayores</c:v>
                </c:pt>
                <c:pt idx="5">
                  <c:v>Otras composiciones, con hijos</c:v>
                </c:pt>
                <c:pt idx="6">
                  <c:v>Otras composiciones, sin hijos</c:v>
                </c:pt>
              </c:strCache>
            </c:strRef>
          </c:cat>
          <c:val>
            <c:numRef>
              <c:f>'[Tablas y Gráficos.xlsx]Resultados - Clas. Demográfica'!$F$136:$L$136</c:f>
              <c:numCache>
                <c:formatCode>0.0%</c:formatCode>
                <c:ptCount val="7"/>
                <c:pt idx="0">
                  <c:v>-8.519624706364487E-2</c:v>
                </c:pt>
                <c:pt idx="1">
                  <c:v>-8.0509654188991614E-2</c:v>
                </c:pt>
                <c:pt idx="2">
                  <c:v>-6.4002350542153752E-2</c:v>
                </c:pt>
                <c:pt idx="3">
                  <c:v>-6.452996233036494E-2</c:v>
                </c:pt>
                <c:pt idx="4">
                  <c:v>4.6004109020208704E-3</c:v>
                </c:pt>
                <c:pt idx="5">
                  <c:v>-7.1806120432909626E-2</c:v>
                </c:pt>
                <c:pt idx="6">
                  <c:v>-8.2881629683404345E-2</c:v>
                </c:pt>
              </c:numCache>
            </c:numRef>
          </c:val>
          <c:smooth val="0"/>
          <c:extLst>
            <c:ext xmlns:c16="http://schemas.microsoft.com/office/drawing/2014/chart" uri="{C3380CC4-5D6E-409C-BE32-E72D297353CC}">
              <c16:uniqueId val="{00000009-D5E7-4459-9371-77D6963DE2C9}"/>
            </c:ext>
          </c:extLst>
        </c:ser>
        <c:ser>
          <c:idx val="11"/>
          <c:order val="10"/>
          <c:tx>
            <c:strRef>
              <c:f>'[Tablas y Gráficos.xlsx]Resultados - Clas. Demográfica'!$D$137</c:f>
              <c:strCache>
                <c:ptCount val="1"/>
                <c:pt idx="0">
                  <c:v>Total impact</c:v>
                </c:pt>
              </c:strCache>
            </c:strRef>
          </c:tx>
          <c:spPr>
            <a:ln w="25400" cap="rnd">
              <a:noFill/>
              <a:round/>
            </a:ln>
            <a:effectLst/>
          </c:spPr>
          <c:marker>
            <c:symbol val="circle"/>
            <c:size val="7"/>
            <c:spPr>
              <a:solidFill>
                <a:schemeClr val="accent6">
                  <a:lumMod val="75000"/>
                </a:schemeClr>
              </a:solidFill>
              <a:ln w="9525">
                <a:noFill/>
              </a:ln>
              <a:effectLst/>
            </c:spPr>
          </c:marker>
          <c:cat>
            <c:strRef>
              <c:f>'[Tablas y Gráficos.xlsx]Resultados - Clas. Demográfica'!$F$126:$L$126</c:f>
              <c:strCache>
                <c:ptCount val="7"/>
                <c:pt idx="0">
                  <c:v>Nuclear</c:v>
                </c:pt>
                <c:pt idx="1">
                  <c:v>Nuclear extendido</c:v>
                </c:pt>
                <c:pt idx="2">
                  <c:v>Madre soltera</c:v>
                </c:pt>
                <c:pt idx="3">
                  <c:v>Adulto soltero sin hijos</c:v>
                </c:pt>
                <c:pt idx="4">
                  <c:v>Adultos mayores</c:v>
                </c:pt>
                <c:pt idx="5">
                  <c:v>Otras composiciones, con hijos</c:v>
                </c:pt>
                <c:pt idx="6">
                  <c:v>Otras composiciones, sin hijos</c:v>
                </c:pt>
              </c:strCache>
            </c:strRef>
          </c:cat>
          <c:val>
            <c:numRef>
              <c:f>'[Tablas y Gráficos.xlsx]Resultados - Clas. Demográfica'!$F$137:$L$137</c:f>
              <c:numCache>
                <c:formatCode>0.0%</c:formatCode>
                <c:ptCount val="7"/>
                <c:pt idx="0">
                  <c:v>8.4748804946447404E-2</c:v>
                </c:pt>
                <c:pt idx="1">
                  <c:v>5.3602625401434574E-2</c:v>
                </c:pt>
                <c:pt idx="2">
                  <c:v>0.13638824503935271</c:v>
                </c:pt>
                <c:pt idx="3">
                  <c:v>-4.2518274129663795E-2</c:v>
                </c:pt>
                <c:pt idx="4">
                  <c:v>4.3018265131617661E-2</c:v>
                </c:pt>
                <c:pt idx="5">
                  <c:v>4.0769526438737304E-2</c:v>
                </c:pt>
                <c:pt idx="6">
                  <c:v>-5.0331232908245205E-2</c:v>
                </c:pt>
              </c:numCache>
            </c:numRef>
          </c:val>
          <c:smooth val="0"/>
          <c:extLst>
            <c:ext xmlns:c16="http://schemas.microsoft.com/office/drawing/2014/chart" uri="{C3380CC4-5D6E-409C-BE32-E72D297353CC}">
              <c16:uniqueId val="{0000000A-D5E7-4459-9371-77D6963DE2C9}"/>
            </c:ext>
          </c:extLst>
        </c:ser>
        <c:dLbls>
          <c:showLegendKey val="0"/>
          <c:showVal val="0"/>
          <c:showCatName val="0"/>
          <c:showSerName val="0"/>
          <c:showPercent val="0"/>
          <c:showBubbleSize val="0"/>
        </c:dLbls>
        <c:marker val="1"/>
        <c:smooth val="0"/>
        <c:axId val="1823585232"/>
        <c:axId val="1823586480"/>
      </c:lineChart>
      <c:catAx>
        <c:axId val="1823585232"/>
        <c:scaling>
          <c:orientation val="minMax"/>
        </c:scaling>
        <c:delete val="0"/>
        <c:axPos val="b"/>
        <c:numFmt formatCode="General" sourceLinked="1"/>
        <c:majorTickMark val="out"/>
        <c:minorTickMark val="none"/>
        <c:tickLblPos val="low"/>
        <c:spPr>
          <a:noFill/>
          <a:ln w="9525" cap="flat" cmpd="sng" algn="ctr">
            <a:solidFill>
              <a:schemeClr val="tx1"/>
            </a:solidFill>
            <a:round/>
          </a:ln>
          <a:effectLst/>
        </c:spPr>
        <c:txPr>
          <a:bodyPr rot="-60000000" spcFirstLastPara="1" vertOverflow="ellipsis" vert="horz" wrap="square" anchor="ctr" anchorCtr="1"/>
          <a:lstStyle/>
          <a:p>
            <a:pPr>
              <a:defRPr sz="95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1823586480"/>
        <c:crosses val="autoZero"/>
        <c:auto val="1"/>
        <c:lblAlgn val="ctr"/>
        <c:lblOffset val="100"/>
        <c:noMultiLvlLbl val="0"/>
      </c:catAx>
      <c:valAx>
        <c:axId val="1823586480"/>
        <c:scaling>
          <c:orientation val="minMax"/>
        </c:scaling>
        <c:delete val="0"/>
        <c:axPos val="l"/>
        <c:majorGridlines>
          <c:spPr>
            <a:ln w="3175" cap="flat" cmpd="sng" algn="ctr">
              <a:solidFill>
                <a:schemeClr val="bg1">
                  <a:lumMod val="85000"/>
                </a:schemeClr>
              </a:solidFill>
              <a:prstDash val="dash"/>
              <a:round/>
            </a:ln>
            <a:effectLst/>
          </c:spPr>
        </c:majorGridlines>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5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1823585232"/>
        <c:crosses val="autoZero"/>
        <c:crossBetween val="between"/>
      </c:valAx>
      <c:spPr>
        <a:noFill/>
        <a:ln>
          <a:noFill/>
        </a:ln>
        <a:effectLst/>
      </c:spPr>
    </c:plotArea>
    <c:legend>
      <c:legendPos val="r"/>
      <c:layout>
        <c:manualLayout>
          <c:xMode val="edge"/>
          <c:yMode val="edge"/>
          <c:x val="0.75750401687301361"/>
          <c:y val="8.7405360387643877E-3"/>
          <c:w val="0.24249598312698642"/>
          <c:h val="0.99125946396123565"/>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latin typeface="Calibri Light" panose="020F0302020204030204" pitchFamily="34" charset="0"/>
          <a:ea typeface="Calibri Light" panose="020F0302020204030204" pitchFamily="34" charset="0"/>
          <a:cs typeface="Calibri Light" panose="020F0302020204030204" pitchFamily="34" charset="0"/>
        </a:defRPr>
      </a:pPr>
      <a:endParaRPr lang="en-US"/>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4203329577402415E-2"/>
          <c:y val="8.6948879096534967E-2"/>
          <c:w val="0.93524110776966674"/>
          <c:h val="0.55558436430907499"/>
        </c:manualLayout>
      </c:layout>
      <c:barChart>
        <c:barDir val="col"/>
        <c:grouping val="clustered"/>
        <c:varyColors val="0"/>
        <c:ser>
          <c:idx val="0"/>
          <c:order val="0"/>
          <c:tx>
            <c:strRef>
              <c:f>'[Tablas y Gráficos.xlsx]Resultados - Clas. Dependientes'!$C$6</c:f>
              <c:strCache>
                <c:ptCount val="1"/>
                <c:pt idx="0">
                  <c:v>Prefiscal income</c:v>
                </c:pt>
              </c:strCache>
            </c:strRef>
          </c:tx>
          <c:spPr>
            <a:solidFill>
              <a:schemeClr val="accent1">
                <a:lumMod val="5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Dependientes'!$T$4:$W$4</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Dependientes'!$T$6:$W$6</c:f>
              <c:numCache>
                <c:formatCode>0.0%</c:formatCode>
                <c:ptCount val="4"/>
                <c:pt idx="0">
                  <c:v>0.31133683498851172</c:v>
                </c:pt>
                <c:pt idx="1">
                  <c:v>0.37199112723186234</c:v>
                </c:pt>
                <c:pt idx="2">
                  <c:v>0.21199433937610748</c:v>
                </c:pt>
                <c:pt idx="3">
                  <c:v>0.15476893174236883</c:v>
                </c:pt>
              </c:numCache>
            </c:numRef>
          </c:val>
          <c:extLst>
            <c:ext xmlns:c16="http://schemas.microsoft.com/office/drawing/2014/chart" uri="{C3380CC4-5D6E-409C-BE32-E72D297353CC}">
              <c16:uniqueId val="{00000000-4B27-4DD4-80A8-7FF05806BCE7}"/>
            </c:ext>
          </c:extLst>
        </c:ser>
        <c:ser>
          <c:idx val="3"/>
          <c:order val="1"/>
          <c:tx>
            <c:strRef>
              <c:f>'[Tablas y Gráficos.xlsx]Resultados - Clas. Dependientes'!$C$9</c:f>
              <c:strCache>
                <c:ptCount val="1"/>
                <c:pt idx="0">
                  <c:v>Postfiscal income</c:v>
                </c:pt>
              </c:strCache>
            </c:strRef>
          </c:tx>
          <c:spPr>
            <a:solidFill>
              <a:schemeClr val="accent1">
                <a:lumMod val="20000"/>
                <a:lumOff val="8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Dependientes'!$T$4:$W$4</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Dependientes'!$T$9:$W$9</c:f>
              <c:numCache>
                <c:formatCode>0.0%</c:formatCode>
                <c:ptCount val="4"/>
                <c:pt idx="0">
                  <c:v>0.30071369310486612</c:v>
                </c:pt>
                <c:pt idx="1">
                  <c:v>0.39815669989635832</c:v>
                </c:pt>
                <c:pt idx="2">
                  <c:v>0.22267128302031491</c:v>
                </c:pt>
                <c:pt idx="3">
                  <c:v>0.1683429293418551</c:v>
                </c:pt>
              </c:numCache>
            </c:numRef>
          </c:val>
          <c:extLst>
            <c:ext xmlns:c16="http://schemas.microsoft.com/office/drawing/2014/chart" uri="{C3380CC4-5D6E-409C-BE32-E72D297353CC}">
              <c16:uniqueId val="{00000001-4B27-4DD4-80A8-7FF05806BCE7}"/>
            </c:ext>
          </c:extLst>
        </c:ser>
        <c:dLbls>
          <c:showLegendKey val="0"/>
          <c:showVal val="0"/>
          <c:showCatName val="0"/>
          <c:showSerName val="0"/>
          <c:showPercent val="0"/>
          <c:showBubbleSize val="0"/>
        </c:dLbls>
        <c:gapWidth val="150"/>
        <c:axId val="1545733360"/>
        <c:axId val="1545722544"/>
        <c:extLst/>
      </c:barChart>
      <c:catAx>
        <c:axId val="1545733360"/>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545722544"/>
        <c:crosses val="autoZero"/>
        <c:auto val="1"/>
        <c:lblAlgn val="ctr"/>
        <c:lblOffset val="100"/>
        <c:noMultiLvlLbl val="0"/>
      </c:catAx>
      <c:valAx>
        <c:axId val="1545722544"/>
        <c:scaling>
          <c:orientation val="minMax"/>
          <c:max val="0.4"/>
        </c:scaling>
        <c:delete val="1"/>
        <c:axPos val="l"/>
        <c:numFmt formatCode="0%" sourceLinked="0"/>
        <c:majorTickMark val="out"/>
        <c:minorTickMark val="none"/>
        <c:tickLblPos val="nextTo"/>
        <c:crossAx val="1545733360"/>
        <c:crosses val="autoZero"/>
        <c:crossBetween val="between"/>
      </c:valAx>
      <c:spPr>
        <a:noFill/>
        <a:ln>
          <a:noFill/>
        </a:ln>
        <a:effectLst/>
      </c:spPr>
    </c:plotArea>
    <c:legend>
      <c:legendPos val="b"/>
      <c:layout>
        <c:manualLayout>
          <c:xMode val="edge"/>
          <c:yMode val="edge"/>
          <c:x val="0.2739144187140134"/>
          <c:y val="0.84966185895152868"/>
          <c:w val="0.4521709759618121"/>
          <c:h val="9.3475902743999847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sz="1000"/>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4203329577402415E-2"/>
          <c:y val="8.6948879096534967E-2"/>
          <c:w val="0.93524110776966674"/>
          <c:h val="0.62338420797031358"/>
        </c:manualLayout>
      </c:layout>
      <c:barChart>
        <c:barDir val="col"/>
        <c:grouping val="clustered"/>
        <c:varyColors val="0"/>
        <c:ser>
          <c:idx val="0"/>
          <c:order val="0"/>
          <c:tx>
            <c:strRef>
              <c:f>'[Tablas y Gráficos.xlsx]Resultados - Clas. Dependientes'!$C$6</c:f>
              <c:strCache>
                <c:ptCount val="1"/>
                <c:pt idx="0">
                  <c:v>Prefiscal income</c:v>
                </c:pt>
              </c:strCache>
            </c:strRef>
          </c:tx>
          <c:spPr>
            <a:solidFill>
              <a:schemeClr val="accent1">
                <a:lumMod val="5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Dependientes'!$T$4:$W$4</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Dependientes'!$T$16:$W$16</c:f>
              <c:numCache>
                <c:formatCode>0.0</c:formatCode>
                <c:ptCount val="4"/>
                <c:pt idx="0">
                  <c:v>48.108580000000003</c:v>
                </c:pt>
                <c:pt idx="1">
                  <c:v>45.042310000000001</c:v>
                </c:pt>
                <c:pt idx="2">
                  <c:v>39.680689999999998</c:v>
                </c:pt>
                <c:pt idx="3">
                  <c:v>43.500080000000004</c:v>
                </c:pt>
              </c:numCache>
            </c:numRef>
          </c:val>
          <c:extLst>
            <c:ext xmlns:c16="http://schemas.microsoft.com/office/drawing/2014/chart" uri="{C3380CC4-5D6E-409C-BE32-E72D297353CC}">
              <c16:uniqueId val="{00000000-3367-4F5D-BCD8-B28FB7C9781C}"/>
            </c:ext>
          </c:extLst>
        </c:ser>
        <c:ser>
          <c:idx val="3"/>
          <c:order val="1"/>
          <c:tx>
            <c:strRef>
              <c:f>'[Tablas y Gráficos.xlsx]Resultados - Clas. Dependientes'!$C$9</c:f>
              <c:strCache>
                <c:ptCount val="1"/>
                <c:pt idx="0">
                  <c:v>Postfiscal income</c:v>
                </c:pt>
              </c:strCache>
            </c:strRef>
          </c:tx>
          <c:spPr>
            <a:solidFill>
              <a:schemeClr val="accent1">
                <a:lumMod val="20000"/>
                <a:lumOff val="8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Dependientes'!$T$4:$W$4</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Dependientes'!$T$19:$W$19</c:f>
              <c:numCache>
                <c:formatCode>0.0</c:formatCode>
                <c:ptCount val="4"/>
                <c:pt idx="0">
                  <c:v>45.928730000000002</c:v>
                </c:pt>
                <c:pt idx="1">
                  <c:v>43.313099999999999</c:v>
                </c:pt>
                <c:pt idx="2">
                  <c:v>38.455449999999999</c:v>
                </c:pt>
                <c:pt idx="3">
                  <c:v>42.505310000000001</c:v>
                </c:pt>
              </c:numCache>
            </c:numRef>
          </c:val>
          <c:extLst>
            <c:ext xmlns:c16="http://schemas.microsoft.com/office/drawing/2014/chart" uri="{C3380CC4-5D6E-409C-BE32-E72D297353CC}">
              <c16:uniqueId val="{00000001-3367-4F5D-BCD8-B28FB7C9781C}"/>
            </c:ext>
          </c:extLst>
        </c:ser>
        <c:dLbls>
          <c:showLegendKey val="0"/>
          <c:showVal val="0"/>
          <c:showCatName val="0"/>
          <c:showSerName val="0"/>
          <c:showPercent val="0"/>
          <c:showBubbleSize val="0"/>
        </c:dLbls>
        <c:gapWidth val="150"/>
        <c:axId val="1545733360"/>
        <c:axId val="1545722544"/>
        <c:extLst/>
      </c:barChart>
      <c:catAx>
        <c:axId val="1545733360"/>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545722544"/>
        <c:crosses val="autoZero"/>
        <c:auto val="1"/>
        <c:lblAlgn val="ctr"/>
        <c:lblOffset val="100"/>
        <c:noMultiLvlLbl val="0"/>
      </c:catAx>
      <c:valAx>
        <c:axId val="1545722544"/>
        <c:scaling>
          <c:orientation val="minMax"/>
          <c:max val="50"/>
          <c:min val="0"/>
        </c:scaling>
        <c:delete val="1"/>
        <c:axPos val="l"/>
        <c:numFmt formatCode="#,##0" sourceLinked="0"/>
        <c:majorTickMark val="out"/>
        <c:minorTickMark val="none"/>
        <c:tickLblPos val="nextTo"/>
        <c:crossAx val="1545733360"/>
        <c:crosses val="autoZero"/>
        <c:crossBetween val="between"/>
      </c:valAx>
      <c:spPr>
        <a:noFill/>
        <a:ln>
          <a:noFill/>
        </a:ln>
        <a:effectLst/>
      </c:spPr>
    </c:plotArea>
    <c:legend>
      <c:legendPos val="b"/>
      <c:layout>
        <c:manualLayout>
          <c:xMode val="edge"/>
          <c:yMode val="edge"/>
          <c:x val="0.2758747743889246"/>
          <c:y val="0.90739882620960144"/>
          <c:w val="0.4482504512221509"/>
          <c:h val="8.3650625569320056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sz="1000"/>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0572678633702241E-2"/>
          <c:y val="8.2176563386518686E-2"/>
          <c:w val="0.68909086320503643"/>
          <c:h val="0.76610817430773703"/>
        </c:manualLayout>
      </c:layout>
      <c:barChart>
        <c:barDir val="col"/>
        <c:grouping val="stacked"/>
        <c:varyColors val="0"/>
        <c:ser>
          <c:idx val="0"/>
          <c:order val="0"/>
          <c:tx>
            <c:strRef>
              <c:f>'[Tablas y Gráficos.xlsx]Resultados - Clas. Dependientes'!$C$88</c:f>
              <c:strCache>
                <c:ptCount val="1"/>
                <c:pt idx="0">
                  <c:v>Direct Taxes</c:v>
                </c:pt>
              </c:strCache>
            </c:strRef>
          </c:tx>
          <c:spPr>
            <a:solidFill>
              <a:schemeClr val="accent2">
                <a:lumMod val="75000"/>
              </a:schemeClr>
            </a:solidFill>
            <a:ln>
              <a:solidFill>
                <a:schemeClr val="tx1"/>
              </a:solidFill>
            </a:ln>
            <a:effectLst/>
          </c:spPr>
          <c:invertIfNegative val="0"/>
          <c:cat>
            <c:strRef>
              <c:f>'[Tablas y Gráficos.xlsx]Resultados - Clas. Dependientes'!$D$102:$G$102</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Dependientes'!$D$88:$G$88</c:f>
              <c:numCache>
                <c:formatCode>0.0%</c:formatCode>
                <c:ptCount val="4"/>
                <c:pt idx="0">
                  <c:v>-1.0912826287922273E-2</c:v>
                </c:pt>
                <c:pt idx="1">
                  <c:v>-1.502422003561597E-2</c:v>
                </c:pt>
                <c:pt idx="2">
                  <c:v>-1.0187944510486319E-2</c:v>
                </c:pt>
                <c:pt idx="3">
                  <c:v>-1.3991100928880056E-2</c:v>
                </c:pt>
              </c:numCache>
            </c:numRef>
          </c:val>
          <c:extLst>
            <c:ext xmlns:c16="http://schemas.microsoft.com/office/drawing/2014/chart" uri="{C3380CC4-5D6E-409C-BE32-E72D297353CC}">
              <c16:uniqueId val="{00000000-C2ED-4D15-B810-92FAA31973DC}"/>
            </c:ext>
          </c:extLst>
        </c:ser>
        <c:ser>
          <c:idx val="1"/>
          <c:order val="1"/>
          <c:tx>
            <c:strRef>
              <c:f>'[Tablas y Gráficos.xlsx]Resultados - Clas. Dependientes'!$C$89</c:f>
              <c:strCache>
                <c:ptCount val="1"/>
                <c:pt idx="0">
                  <c:v>JUNTOS</c:v>
                </c:pt>
              </c:strCache>
            </c:strRef>
          </c:tx>
          <c:spPr>
            <a:solidFill>
              <a:schemeClr val="accent5">
                <a:lumMod val="50000"/>
              </a:schemeClr>
            </a:solidFill>
            <a:ln>
              <a:solidFill>
                <a:schemeClr val="tx1"/>
              </a:solidFill>
            </a:ln>
            <a:effectLst/>
          </c:spPr>
          <c:invertIfNegative val="0"/>
          <c:cat>
            <c:strRef>
              <c:f>'[Tablas y Gráficos.xlsx]Resultados - Clas. Dependientes'!$D$102:$G$102</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Dependientes'!$D$89:$G$89</c:f>
              <c:numCache>
                <c:formatCode>0.0%</c:formatCode>
                <c:ptCount val="4"/>
                <c:pt idx="0">
                  <c:v>4.3047218939744804E-3</c:v>
                </c:pt>
                <c:pt idx="1">
                  <c:v>7.0518077535568985E-3</c:v>
                </c:pt>
                <c:pt idx="2">
                  <c:v>1.7376070945160061E-3</c:v>
                </c:pt>
                <c:pt idx="3">
                  <c:v>2.7118321310954426E-3</c:v>
                </c:pt>
              </c:numCache>
            </c:numRef>
          </c:val>
          <c:extLst>
            <c:ext xmlns:c16="http://schemas.microsoft.com/office/drawing/2014/chart" uri="{C3380CC4-5D6E-409C-BE32-E72D297353CC}">
              <c16:uniqueId val="{00000001-C2ED-4D15-B810-92FAA31973DC}"/>
            </c:ext>
          </c:extLst>
        </c:ser>
        <c:ser>
          <c:idx val="2"/>
          <c:order val="2"/>
          <c:tx>
            <c:strRef>
              <c:f>'[Tablas y Gráficos.xlsx]Resultados - Clas. Dependientes'!$C$90</c:f>
              <c:strCache>
                <c:ptCount val="1"/>
                <c:pt idx="0">
                  <c:v>Pensión 65</c:v>
                </c:pt>
              </c:strCache>
            </c:strRef>
          </c:tx>
          <c:spPr>
            <a:solidFill>
              <a:schemeClr val="accent5">
                <a:lumMod val="75000"/>
              </a:schemeClr>
            </a:solidFill>
            <a:ln>
              <a:solidFill>
                <a:schemeClr val="tx1"/>
              </a:solidFill>
            </a:ln>
            <a:effectLst/>
          </c:spPr>
          <c:invertIfNegative val="0"/>
          <c:cat>
            <c:strRef>
              <c:f>'[Tablas y Gráficos.xlsx]Resultados - Clas. Dependientes'!$D$102:$G$102</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Dependientes'!$D$90:$G$90</c:f>
              <c:numCache>
                <c:formatCode>0.0%</c:formatCode>
                <c:ptCount val="4"/>
                <c:pt idx="0">
                  <c:v>9.2944083561814182E-3</c:v>
                </c:pt>
                <c:pt idx="1">
                  <c:v>1.0151136968820089E-3</c:v>
                </c:pt>
                <c:pt idx="2">
                  <c:v>7.6070916914429756E-3</c:v>
                </c:pt>
                <c:pt idx="3">
                  <c:v>1.4834665932702911E-3</c:v>
                </c:pt>
              </c:numCache>
            </c:numRef>
          </c:val>
          <c:extLst>
            <c:ext xmlns:c16="http://schemas.microsoft.com/office/drawing/2014/chart" uri="{C3380CC4-5D6E-409C-BE32-E72D297353CC}">
              <c16:uniqueId val="{00000002-C2ED-4D15-B810-92FAA31973DC}"/>
            </c:ext>
          </c:extLst>
        </c:ser>
        <c:ser>
          <c:idx val="3"/>
          <c:order val="3"/>
          <c:tx>
            <c:strRef>
              <c:f>'[Tablas y Gráficos.xlsx]Resultados - Clas. Dependientes'!$C$91</c:f>
              <c:strCache>
                <c:ptCount val="1"/>
                <c:pt idx="0">
                  <c:v>Other monetary transfers</c:v>
                </c:pt>
              </c:strCache>
            </c:strRef>
          </c:tx>
          <c:spPr>
            <a:solidFill>
              <a:schemeClr val="accent5">
                <a:lumMod val="60000"/>
                <a:lumOff val="40000"/>
              </a:schemeClr>
            </a:solidFill>
            <a:ln>
              <a:solidFill>
                <a:schemeClr val="tx1"/>
              </a:solidFill>
            </a:ln>
            <a:effectLst/>
          </c:spPr>
          <c:invertIfNegative val="0"/>
          <c:cat>
            <c:strRef>
              <c:f>'[Tablas y Gráficos.xlsx]Resultados - Clas. Dependientes'!$D$102:$G$102</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Dependientes'!$D$91:$G$91</c:f>
              <c:numCache>
                <c:formatCode>0.0%</c:formatCode>
                <c:ptCount val="4"/>
                <c:pt idx="0">
                  <c:v>2.6657028018320851E-2</c:v>
                </c:pt>
                <c:pt idx="1">
                  <c:v>7.3710881121961383E-3</c:v>
                </c:pt>
                <c:pt idx="2">
                  <c:v>1.5286882804744819E-2</c:v>
                </c:pt>
                <c:pt idx="3">
                  <c:v>8.1684998515686932E-3</c:v>
                </c:pt>
              </c:numCache>
            </c:numRef>
          </c:val>
          <c:extLst>
            <c:ext xmlns:c16="http://schemas.microsoft.com/office/drawing/2014/chart" uri="{C3380CC4-5D6E-409C-BE32-E72D297353CC}">
              <c16:uniqueId val="{00000003-C2ED-4D15-B810-92FAA31973DC}"/>
            </c:ext>
          </c:extLst>
        </c:ser>
        <c:ser>
          <c:idx val="5"/>
          <c:order val="4"/>
          <c:tx>
            <c:strRef>
              <c:f>'[Tablas y Gráficos.xlsx]Resultados - Clas. Dependientes'!$C$92</c:f>
              <c:strCache>
                <c:ptCount val="1"/>
                <c:pt idx="0">
                  <c:v>Non-monetary public transfers</c:v>
                </c:pt>
              </c:strCache>
            </c:strRef>
          </c:tx>
          <c:spPr>
            <a:solidFill>
              <a:schemeClr val="accent5">
                <a:lumMod val="20000"/>
                <a:lumOff val="80000"/>
              </a:schemeClr>
            </a:solidFill>
            <a:ln>
              <a:solidFill>
                <a:schemeClr val="tx1"/>
              </a:solidFill>
            </a:ln>
            <a:effectLst/>
          </c:spPr>
          <c:invertIfNegative val="0"/>
          <c:cat>
            <c:strRef>
              <c:f>'[Tablas y Gráficos.xlsx]Resultados - Clas. Dependientes'!$D$102:$G$102</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Dependientes'!$D$92:$G$92</c:f>
              <c:numCache>
                <c:formatCode>0.0%</c:formatCode>
                <c:ptCount val="4"/>
                <c:pt idx="0">
                  <c:v>5.6037056412853213E-3</c:v>
                </c:pt>
                <c:pt idx="1">
                  <c:v>1.0070185713581641E-2</c:v>
                </c:pt>
                <c:pt idx="2">
                  <c:v>3.2942125228720919E-3</c:v>
                </c:pt>
                <c:pt idx="3">
                  <c:v>2.8801090511946666E-3</c:v>
                </c:pt>
              </c:numCache>
            </c:numRef>
          </c:val>
          <c:extLst>
            <c:ext xmlns:c16="http://schemas.microsoft.com/office/drawing/2014/chart" uri="{C3380CC4-5D6E-409C-BE32-E72D297353CC}">
              <c16:uniqueId val="{00000004-C2ED-4D15-B810-92FAA31973DC}"/>
            </c:ext>
          </c:extLst>
        </c:ser>
        <c:ser>
          <c:idx val="6"/>
          <c:order val="5"/>
          <c:tx>
            <c:strRef>
              <c:f>'[Tablas y Gráficos.xlsx]Resultados - Clas. Dependientes'!$C$93</c:f>
              <c:strCache>
                <c:ptCount val="1"/>
                <c:pt idx="0">
                  <c:v>Indirect Taxes - IGV</c:v>
                </c:pt>
              </c:strCache>
            </c:strRef>
          </c:tx>
          <c:spPr>
            <a:solidFill>
              <a:schemeClr val="accent2">
                <a:lumMod val="40000"/>
                <a:lumOff val="60000"/>
              </a:schemeClr>
            </a:solidFill>
            <a:ln>
              <a:solidFill>
                <a:schemeClr val="tx1"/>
              </a:solidFill>
            </a:ln>
            <a:effectLst/>
          </c:spPr>
          <c:invertIfNegative val="0"/>
          <c:cat>
            <c:strRef>
              <c:f>'[Tablas y Gráficos.xlsx]Resultados - Clas. Dependientes'!$D$102:$G$102</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Dependientes'!$D$93:$G$93</c:f>
              <c:numCache>
                <c:formatCode>0.0%</c:formatCode>
                <c:ptCount val="4"/>
                <c:pt idx="0">
                  <c:v>-7.2974829279596656E-2</c:v>
                </c:pt>
                <c:pt idx="1">
                  <c:v>-8.0805580249530953E-2</c:v>
                </c:pt>
                <c:pt idx="2">
                  <c:v>-7.4884050069383354E-2</c:v>
                </c:pt>
                <c:pt idx="3">
                  <c:v>-7.9605880988903116E-2</c:v>
                </c:pt>
              </c:numCache>
            </c:numRef>
          </c:val>
          <c:extLst>
            <c:ext xmlns:c16="http://schemas.microsoft.com/office/drawing/2014/chart" uri="{C3380CC4-5D6E-409C-BE32-E72D297353CC}">
              <c16:uniqueId val="{00000005-C2ED-4D15-B810-92FAA31973DC}"/>
            </c:ext>
          </c:extLst>
        </c:ser>
        <c:ser>
          <c:idx val="7"/>
          <c:order val="6"/>
          <c:tx>
            <c:strRef>
              <c:f>'[Tablas y Gráficos.xlsx]Resultados - Clas. Dependientes'!$C$94</c:f>
              <c:strCache>
                <c:ptCount val="1"/>
                <c:pt idx="0">
                  <c:v>Indirect Taxes - ISC</c:v>
                </c:pt>
              </c:strCache>
            </c:strRef>
          </c:tx>
          <c:spPr>
            <a:solidFill>
              <a:schemeClr val="accent2">
                <a:lumMod val="50000"/>
              </a:schemeClr>
            </a:solidFill>
            <a:ln>
              <a:solidFill>
                <a:schemeClr val="tx1"/>
              </a:solidFill>
            </a:ln>
            <a:effectLst/>
          </c:spPr>
          <c:invertIfNegative val="0"/>
          <c:cat>
            <c:strRef>
              <c:f>'[Tablas y Gráficos.xlsx]Resultados - Clas. Dependientes'!$D$102:$G$102</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Dependientes'!$D$94:$G$94</c:f>
              <c:numCache>
                <c:formatCode>0.0%</c:formatCode>
                <c:ptCount val="4"/>
                <c:pt idx="0">
                  <c:v>-5.1254742130730135E-4</c:v>
                </c:pt>
                <c:pt idx="1">
                  <c:v>-7.4802489314038675E-4</c:v>
                </c:pt>
                <c:pt idx="2">
                  <c:v>-4.7339542237831667E-4</c:v>
                </c:pt>
                <c:pt idx="3">
                  <c:v>-6.6933958293861212E-4</c:v>
                </c:pt>
              </c:numCache>
            </c:numRef>
          </c:val>
          <c:extLst>
            <c:ext xmlns:c16="http://schemas.microsoft.com/office/drawing/2014/chart" uri="{C3380CC4-5D6E-409C-BE32-E72D297353CC}">
              <c16:uniqueId val="{00000006-C2ED-4D15-B810-92FAA31973DC}"/>
            </c:ext>
          </c:extLst>
        </c:ser>
        <c:ser>
          <c:idx val="8"/>
          <c:order val="7"/>
          <c:tx>
            <c:strRef>
              <c:f>'[Tablas y Gráficos.xlsx]Resultados - Clas. Dependientes'!$C$95</c:f>
              <c:strCache>
                <c:ptCount val="1"/>
                <c:pt idx="0">
                  <c:v>Health</c:v>
                </c:pt>
              </c:strCache>
            </c:strRef>
          </c:tx>
          <c:spPr>
            <a:solidFill>
              <a:schemeClr val="tx1"/>
            </a:solidFill>
            <a:ln>
              <a:solidFill>
                <a:schemeClr val="tx1"/>
              </a:solidFill>
            </a:ln>
            <a:effectLst/>
          </c:spPr>
          <c:invertIfNegative val="0"/>
          <c:cat>
            <c:strRef>
              <c:f>'[Tablas y Gráficos.xlsx]Resultados - Clas. Dependientes'!$D$102:$G$102</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Dependientes'!$D$95:$G$95</c:f>
              <c:numCache>
                <c:formatCode>0.0%</c:formatCode>
                <c:ptCount val="4"/>
                <c:pt idx="0">
                  <c:v>2.8621699039267291E-2</c:v>
                </c:pt>
                <c:pt idx="1">
                  <c:v>2.7663303054183328E-2</c:v>
                </c:pt>
                <c:pt idx="2">
                  <c:v>2.6810051668501186E-2</c:v>
                </c:pt>
                <c:pt idx="3">
                  <c:v>1.2597463912906002E-2</c:v>
                </c:pt>
              </c:numCache>
            </c:numRef>
          </c:val>
          <c:extLst>
            <c:ext xmlns:c16="http://schemas.microsoft.com/office/drawing/2014/chart" uri="{C3380CC4-5D6E-409C-BE32-E72D297353CC}">
              <c16:uniqueId val="{00000007-C2ED-4D15-B810-92FAA31973DC}"/>
            </c:ext>
          </c:extLst>
        </c:ser>
        <c:ser>
          <c:idx val="9"/>
          <c:order val="8"/>
          <c:tx>
            <c:strRef>
              <c:f>'[Tablas y Gráficos.xlsx]Resultados - Clas. Dependientes'!$C$96</c:f>
              <c:strCache>
                <c:ptCount val="1"/>
                <c:pt idx="0">
                  <c:v>Education</c:v>
                </c:pt>
              </c:strCache>
            </c:strRef>
          </c:tx>
          <c:spPr>
            <a:solidFill>
              <a:schemeClr val="accent3">
                <a:lumMod val="40000"/>
                <a:lumOff val="60000"/>
              </a:schemeClr>
            </a:solidFill>
            <a:ln>
              <a:solidFill>
                <a:schemeClr val="tx1"/>
              </a:solidFill>
            </a:ln>
            <a:effectLst/>
          </c:spPr>
          <c:invertIfNegative val="0"/>
          <c:cat>
            <c:strRef>
              <c:f>'[Tablas y Gráficos.xlsx]Resultados - Clas. Dependientes'!$D$102:$G$102</c:f>
              <c:strCache>
                <c:ptCount val="4"/>
                <c:pt idx="0">
                  <c:v>Lone mother with care-dependents</c:v>
                </c:pt>
                <c:pt idx="1">
                  <c:v>Adult couple with care-dependents</c:v>
                </c:pt>
                <c:pt idx="2">
                  <c:v>Other households with care-dependents</c:v>
                </c:pt>
                <c:pt idx="3">
                  <c:v>Households without care-dependents</c:v>
                </c:pt>
              </c:strCache>
            </c:strRef>
          </c:cat>
          <c:val>
            <c:numRef>
              <c:f>'[Tablas y Gráficos.xlsx]Resultados - Clas. Dependientes'!$D$96:$G$96</c:f>
              <c:numCache>
                <c:formatCode>0.0%</c:formatCode>
                <c:ptCount val="4"/>
                <c:pt idx="0">
                  <c:v>8.3087760659572213E-2</c:v>
                </c:pt>
                <c:pt idx="1">
                  <c:v>0.13897625448390283</c:v>
                </c:pt>
                <c:pt idx="2">
                  <c:v>6.5231441659418146E-2</c:v>
                </c:pt>
                <c:pt idx="3">
                  <c:v>6.6013537445146153E-2</c:v>
                </c:pt>
              </c:numCache>
            </c:numRef>
          </c:val>
          <c:extLst>
            <c:ext xmlns:c16="http://schemas.microsoft.com/office/drawing/2014/chart" uri="{C3380CC4-5D6E-409C-BE32-E72D297353CC}">
              <c16:uniqueId val="{00000008-C2ED-4D15-B810-92FAA31973DC}"/>
            </c:ext>
          </c:extLst>
        </c:ser>
        <c:dLbls>
          <c:showLegendKey val="0"/>
          <c:showVal val="0"/>
          <c:showCatName val="0"/>
          <c:showSerName val="0"/>
          <c:showPercent val="0"/>
          <c:showBubbleSize val="0"/>
        </c:dLbls>
        <c:gapWidth val="150"/>
        <c:overlap val="100"/>
        <c:axId val="1823585232"/>
        <c:axId val="1823586480"/>
      </c:barChart>
      <c:lineChart>
        <c:grouping val="standard"/>
        <c:varyColors val="0"/>
        <c:ser>
          <c:idx val="10"/>
          <c:order val="9"/>
          <c:tx>
            <c:strRef>
              <c:f>'[Tablas y Gráficos.xlsx]Resultados - Clas. Dependientes'!$C$97</c:f>
              <c:strCache>
                <c:ptCount val="1"/>
                <c:pt idx="0">
                  <c:v>Monetary impact</c:v>
                </c:pt>
              </c:strCache>
            </c:strRef>
          </c:tx>
          <c:spPr>
            <a:ln w="28575" cap="rnd">
              <a:noFill/>
              <a:round/>
            </a:ln>
            <a:effectLst/>
          </c:spPr>
          <c:marker>
            <c:symbol val="circle"/>
            <c:size val="7"/>
            <c:spPr>
              <a:noFill/>
              <a:ln w="25400">
                <a:solidFill>
                  <a:srgbClr val="002060"/>
                </a:solidFill>
              </a:ln>
              <a:effectLst/>
            </c:spPr>
          </c:marker>
          <c:cat>
            <c:strRef>
              <c:f>'[Tablas y Gráficos.xlsx]Resultados - Clas. Dependientes'!$D$87:$G$87</c:f>
              <c:strCache>
                <c:ptCount val="4"/>
                <c:pt idx="0">
                  <c:v>Single mother with dependents</c:v>
                </c:pt>
                <c:pt idx="1">
                  <c:v>Adult couple with dependents</c:v>
                </c:pt>
                <c:pt idx="2">
                  <c:v>Other households with dependents</c:v>
                </c:pt>
                <c:pt idx="3">
                  <c:v>Households without dependents</c:v>
                </c:pt>
              </c:strCache>
            </c:strRef>
          </c:cat>
          <c:val>
            <c:numRef>
              <c:f>'[Tablas y Gráficos.xlsx]Resultados - Clas. Dependientes'!$D$97:$G$97</c:f>
              <c:numCache>
                <c:formatCode>0.0%</c:formatCode>
                <c:ptCount val="4"/>
                <c:pt idx="0">
                  <c:v>-4.4144044720349468E-2</c:v>
                </c:pt>
                <c:pt idx="1">
                  <c:v>-8.1139815615652242E-2</c:v>
                </c:pt>
                <c:pt idx="2">
                  <c:v>-6.0913808411544167E-2</c:v>
                </c:pt>
                <c:pt idx="3">
                  <c:v>-8.1902522924787349E-2</c:v>
                </c:pt>
              </c:numCache>
            </c:numRef>
          </c:val>
          <c:smooth val="0"/>
          <c:extLst>
            <c:ext xmlns:c16="http://schemas.microsoft.com/office/drawing/2014/chart" uri="{C3380CC4-5D6E-409C-BE32-E72D297353CC}">
              <c16:uniqueId val="{00000009-C2ED-4D15-B810-92FAA31973DC}"/>
            </c:ext>
          </c:extLst>
        </c:ser>
        <c:ser>
          <c:idx val="11"/>
          <c:order val="10"/>
          <c:tx>
            <c:strRef>
              <c:f>'[Tablas y Gráficos.xlsx]Resultados - Clas. Dependientes'!$C$98</c:f>
              <c:strCache>
                <c:ptCount val="1"/>
                <c:pt idx="0">
                  <c:v>Total impact</c:v>
                </c:pt>
              </c:strCache>
            </c:strRef>
          </c:tx>
          <c:spPr>
            <a:ln w="28575" cap="rnd">
              <a:noFill/>
              <a:round/>
            </a:ln>
            <a:effectLst/>
          </c:spPr>
          <c:marker>
            <c:symbol val="circle"/>
            <c:size val="7"/>
            <c:spPr>
              <a:solidFill>
                <a:schemeClr val="accent6">
                  <a:lumMod val="75000"/>
                </a:schemeClr>
              </a:solidFill>
              <a:ln w="9525">
                <a:noFill/>
              </a:ln>
              <a:effectLst/>
            </c:spPr>
          </c:marker>
          <c:cat>
            <c:strRef>
              <c:f>'[Tablas y Gráficos.xlsx]Resultados - Clas. Dependientes'!$D$87:$G$87</c:f>
              <c:strCache>
                <c:ptCount val="4"/>
                <c:pt idx="0">
                  <c:v>Single mother with dependents</c:v>
                </c:pt>
                <c:pt idx="1">
                  <c:v>Adult couple with dependents</c:v>
                </c:pt>
                <c:pt idx="2">
                  <c:v>Other households with dependents</c:v>
                </c:pt>
                <c:pt idx="3">
                  <c:v>Households without dependents</c:v>
                </c:pt>
              </c:strCache>
            </c:strRef>
          </c:cat>
          <c:val>
            <c:numRef>
              <c:f>'[Tablas y Gráficos.xlsx]Resultados - Clas. Dependientes'!$D$98:$G$98</c:f>
              <c:numCache>
                <c:formatCode>0.0%</c:formatCode>
                <c:ptCount val="4"/>
                <c:pt idx="0">
                  <c:v>7.3169120619775346E-2</c:v>
                </c:pt>
                <c:pt idx="1">
                  <c:v>9.5569927636015531E-2</c:v>
                </c:pt>
                <c:pt idx="2">
                  <c:v>3.4421897439247243E-2</c:v>
                </c:pt>
                <c:pt idx="3">
                  <c:v>-4.114125155405362E-4</c:v>
                </c:pt>
              </c:numCache>
            </c:numRef>
          </c:val>
          <c:smooth val="0"/>
          <c:extLst>
            <c:ext xmlns:c16="http://schemas.microsoft.com/office/drawing/2014/chart" uri="{C3380CC4-5D6E-409C-BE32-E72D297353CC}">
              <c16:uniqueId val="{0000000A-C2ED-4D15-B810-92FAA31973DC}"/>
            </c:ext>
          </c:extLst>
        </c:ser>
        <c:dLbls>
          <c:showLegendKey val="0"/>
          <c:showVal val="0"/>
          <c:showCatName val="0"/>
          <c:showSerName val="0"/>
          <c:showPercent val="0"/>
          <c:showBubbleSize val="0"/>
        </c:dLbls>
        <c:marker val="1"/>
        <c:smooth val="0"/>
        <c:axId val="1823585232"/>
        <c:axId val="1823586480"/>
      </c:lineChart>
      <c:catAx>
        <c:axId val="1823585232"/>
        <c:scaling>
          <c:orientation val="minMax"/>
        </c:scaling>
        <c:delete val="0"/>
        <c:axPos val="b"/>
        <c:numFmt formatCode="General" sourceLinked="1"/>
        <c:majorTickMark val="out"/>
        <c:minorTickMark val="none"/>
        <c:tickLblPos val="low"/>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1823586480"/>
        <c:crosses val="autoZero"/>
        <c:auto val="1"/>
        <c:lblAlgn val="ctr"/>
        <c:lblOffset val="100"/>
        <c:noMultiLvlLbl val="0"/>
      </c:catAx>
      <c:valAx>
        <c:axId val="1823586480"/>
        <c:scaling>
          <c:orientation val="minMax"/>
          <c:max val="0.2"/>
          <c:min val="-0.1"/>
        </c:scaling>
        <c:delete val="0"/>
        <c:axPos val="l"/>
        <c:majorGridlines>
          <c:spPr>
            <a:ln w="3175" cap="flat" cmpd="sng" algn="ctr">
              <a:solidFill>
                <a:schemeClr val="bg1">
                  <a:lumMod val="85000"/>
                </a:schemeClr>
              </a:solidFill>
              <a:prstDash val="dash"/>
              <a:round/>
            </a:ln>
            <a:effectLst/>
          </c:spPr>
        </c:majorGridlines>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1823585232"/>
        <c:crosses val="autoZero"/>
        <c:crossBetween val="between"/>
        <c:majorUnit val="5.000000000000001E-2"/>
      </c:valAx>
      <c:spPr>
        <a:noFill/>
        <a:ln>
          <a:noFill/>
        </a:ln>
        <a:effectLst/>
      </c:spPr>
    </c:plotArea>
    <c:legend>
      <c:legendPos val="r"/>
      <c:layout>
        <c:manualLayout>
          <c:xMode val="edge"/>
          <c:yMode val="edge"/>
          <c:x val="0.76162321582593695"/>
          <c:y val="0.12572074116977924"/>
          <c:w val="0.23711615332535732"/>
          <c:h val="0.73225633078171393"/>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3.4203329577402415E-2"/>
          <c:y val="3.0219467704671803E-2"/>
          <c:w val="0.93524110776966674"/>
          <c:h val="0.80737682816162859"/>
        </c:manualLayout>
      </c:layout>
      <c:barChart>
        <c:barDir val="col"/>
        <c:grouping val="clustered"/>
        <c:varyColors val="0"/>
        <c:ser>
          <c:idx val="0"/>
          <c:order val="0"/>
          <c:tx>
            <c:strRef>
              <c:f>'[Tablas y Gráficos.xlsx]Resultados - Clas. Agro-Urbano'!$C$6</c:f>
              <c:strCache>
                <c:ptCount val="1"/>
                <c:pt idx="0">
                  <c:v>Prefiscal Income</c:v>
                </c:pt>
              </c:strCache>
            </c:strRef>
          </c:tx>
          <c:spPr>
            <a:solidFill>
              <a:srgbClr val="4472C4">
                <a:lumMod val="50000"/>
              </a:srgb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Agro-Urbano'!$T$4:$U$4</c:f>
              <c:strCache>
                <c:ptCount val="2"/>
                <c:pt idx="0">
                  <c:v>Agricultural Household</c:v>
                </c:pt>
                <c:pt idx="1">
                  <c:v>Non-agricultural household</c:v>
                </c:pt>
              </c:strCache>
            </c:strRef>
          </c:cat>
          <c:val>
            <c:numRef>
              <c:f>'[Tablas y Gráficos.xlsx]Resultados - Clas. Agro-Urbano'!$T$6:$U$6</c:f>
              <c:numCache>
                <c:formatCode>0.0%</c:formatCode>
                <c:ptCount val="2"/>
                <c:pt idx="0">
                  <c:v>0.48798911413051582</c:v>
                </c:pt>
                <c:pt idx="1">
                  <c:v>0.13300945948608936</c:v>
                </c:pt>
              </c:numCache>
            </c:numRef>
          </c:val>
          <c:extLst>
            <c:ext xmlns:c16="http://schemas.microsoft.com/office/drawing/2014/chart" uri="{C3380CC4-5D6E-409C-BE32-E72D297353CC}">
              <c16:uniqueId val="{00000000-FD02-48CF-987C-5D9A469D55B9}"/>
            </c:ext>
          </c:extLst>
        </c:ser>
        <c:ser>
          <c:idx val="3"/>
          <c:order val="1"/>
          <c:tx>
            <c:strRef>
              <c:f>'[Tablas y Gráficos.xlsx]Resultados - Clas. Agro-Urbano'!$C$9</c:f>
              <c:strCache>
                <c:ptCount val="1"/>
                <c:pt idx="0">
                  <c:v>Postfiscal Income</c:v>
                </c:pt>
              </c:strCache>
            </c:strRef>
          </c:tx>
          <c:spPr>
            <a:solidFill>
              <a:srgbClr val="4472C4">
                <a:lumMod val="20000"/>
                <a:lumOff val="80000"/>
              </a:srgb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Agro-Urbano'!$T$4:$U$4</c:f>
              <c:strCache>
                <c:ptCount val="2"/>
                <c:pt idx="0">
                  <c:v>Agricultural Household</c:v>
                </c:pt>
                <c:pt idx="1">
                  <c:v>Non-agricultural household</c:v>
                </c:pt>
              </c:strCache>
            </c:strRef>
          </c:cat>
          <c:val>
            <c:numRef>
              <c:f>'[Tablas y Gráficos.xlsx]Resultados - Clas. Agro-Urbano'!$T$9:$U$9</c:f>
              <c:numCache>
                <c:formatCode>0.0%</c:formatCode>
                <c:ptCount val="2"/>
                <c:pt idx="0">
                  <c:v>0.46317985401460349</c:v>
                </c:pt>
                <c:pt idx="1">
                  <c:v>0.15860719645414476</c:v>
                </c:pt>
              </c:numCache>
            </c:numRef>
          </c:val>
          <c:extLst>
            <c:ext xmlns:c16="http://schemas.microsoft.com/office/drawing/2014/chart" uri="{C3380CC4-5D6E-409C-BE32-E72D297353CC}">
              <c16:uniqueId val="{00000001-FD02-48CF-987C-5D9A469D55B9}"/>
            </c:ext>
          </c:extLst>
        </c:ser>
        <c:dLbls>
          <c:showLegendKey val="0"/>
          <c:showVal val="0"/>
          <c:showCatName val="0"/>
          <c:showSerName val="0"/>
          <c:showPercent val="0"/>
          <c:showBubbleSize val="0"/>
        </c:dLbls>
        <c:gapWidth val="150"/>
        <c:axId val="1545733360"/>
        <c:axId val="1545722544"/>
        <c:extLst/>
      </c:barChart>
      <c:catAx>
        <c:axId val="1545733360"/>
        <c:scaling>
          <c:orientation val="minMax"/>
        </c:scaling>
        <c:delete val="0"/>
        <c:axPos val="b"/>
        <c:numFmt formatCode="General" sourceLinked="1"/>
        <c:majorTickMark val="out"/>
        <c:minorTickMark val="none"/>
        <c:tickLblPos val="nextTo"/>
        <c:spPr>
          <a:noFill/>
          <a:ln w="9525" cap="flat" cmpd="sng" algn="ctr">
            <a:solidFill>
              <a:srgbClr val="002060"/>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45722544"/>
        <c:crosses val="autoZero"/>
        <c:auto val="1"/>
        <c:lblAlgn val="ctr"/>
        <c:lblOffset val="100"/>
        <c:noMultiLvlLbl val="0"/>
      </c:catAx>
      <c:valAx>
        <c:axId val="1545722544"/>
        <c:scaling>
          <c:orientation val="minMax"/>
          <c:max val="0.55000000000000004"/>
        </c:scaling>
        <c:delete val="1"/>
        <c:axPos val="l"/>
        <c:numFmt formatCode="0%" sourceLinked="0"/>
        <c:majorTickMark val="out"/>
        <c:minorTickMark val="none"/>
        <c:tickLblPos val="nextTo"/>
        <c:crossAx val="1545733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b="0">
          <a:latin typeface="+mn-lt"/>
        </a:defRPr>
      </a:pPr>
      <a:endParaRPr lang="en-US"/>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4203329577402415E-2"/>
          <c:y val="0"/>
          <c:w val="0.93524110776966674"/>
          <c:h val="0.78068995999603674"/>
        </c:manualLayout>
      </c:layout>
      <c:barChart>
        <c:barDir val="col"/>
        <c:grouping val="clustered"/>
        <c:varyColors val="0"/>
        <c:ser>
          <c:idx val="0"/>
          <c:order val="0"/>
          <c:tx>
            <c:strRef>
              <c:f>'[Tablas y Gráficos.xlsx]Resultados - Clas. Agro-Urbano'!$C$6</c:f>
              <c:strCache>
                <c:ptCount val="1"/>
                <c:pt idx="0">
                  <c:v>Prefiscal Income</c:v>
                </c:pt>
              </c:strCache>
            </c:strRef>
          </c:tx>
          <c:spPr>
            <a:solidFill>
              <a:schemeClr val="accent1">
                <a:lumMod val="5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Agro-Urbano'!$T$4:$U$4</c:f>
              <c:strCache>
                <c:ptCount val="2"/>
                <c:pt idx="0">
                  <c:v>Agricultural Household</c:v>
                </c:pt>
                <c:pt idx="1">
                  <c:v>Non-agricultural household</c:v>
                </c:pt>
              </c:strCache>
            </c:strRef>
          </c:cat>
          <c:val>
            <c:numRef>
              <c:f>'[Tablas y Gráficos.xlsx]Resultados - Clas. Agro-Urbano'!$T$18:$U$18</c:f>
              <c:numCache>
                <c:formatCode>0.0</c:formatCode>
                <c:ptCount val="2"/>
                <c:pt idx="0">
                  <c:v>42.615670000000001</c:v>
                </c:pt>
                <c:pt idx="1">
                  <c:v>39.749119999999998</c:v>
                </c:pt>
              </c:numCache>
            </c:numRef>
          </c:val>
          <c:extLst>
            <c:ext xmlns:c16="http://schemas.microsoft.com/office/drawing/2014/chart" uri="{C3380CC4-5D6E-409C-BE32-E72D297353CC}">
              <c16:uniqueId val="{00000000-BE3D-4020-8FD6-8AB05A948981}"/>
            </c:ext>
          </c:extLst>
        </c:ser>
        <c:ser>
          <c:idx val="3"/>
          <c:order val="1"/>
          <c:tx>
            <c:strRef>
              <c:f>'[Tablas y Gráficos.xlsx]Resultados - Clas. Agro-Urbano'!$C$9</c:f>
              <c:strCache>
                <c:ptCount val="1"/>
                <c:pt idx="0">
                  <c:v>Postfiscal Income</c:v>
                </c:pt>
              </c:strCache>
            </c:strRef>
          </c:tx>
          <c:spPr>
            <a:solidFill>
              <a:schemeClr val="accent1">
                <a:lumMod val="20000"/>
                <a:lumOff val="8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Agro-Urbano'!$T$4:$U$4</c:f>
              <c:strCache>
                <c:ptCount val="2"/>
                <c:pt idx="0">
                  <c:v>Agricultural Household</c:v>
                </c:pt>
                <c:pt idx="1">
                  <c:v>Non-agricultural household</c:v>
                </c:pt>
              </c:strCache>
            </c:strRef>
          </c:cat>
          <c:val>
            <c:numRef>
              <c:f>'[Tablas y Gráficos.xlsx]Resultados - Clas. Agro-Urbano'!$T$21:$U$21</c:f>
              <c:numCache>
                <c:formatCode>0.0</c:formatCode>
                <c:ptCount val="2"/>
                <c:pt idx="0">
                  <c:v>40.180390000000003</c:v>
                </c:pt>
                <c:pt idx="1">
                  <c:v>39.132850000000005</c:v>
                </c:pt>
              </c:numCache>
            </c:numRef>
          </c:val>
          <c:extLst>
            <c:ext xmlns:c16="http://schemas.microsoft.com/office/drawing/2014/chart" uri="{C3380CC4-5D6E-409C-BE32-E72D297353CC}">
              <c16:uniqueId val="{00000001-BE3D-4020-8FD6-8AB05A948981}"/>
            </c:ext>
          </c:extLst>
        </c:ser>
        <c:dLbls>
          <c:showLegendKey val="0"/>
          <c:showVal val="0"/>
          <c:showCatName val="0"/>
          <c:showSerName val="0"/>
          <c:showPercent val="0"/>
          <c:showBubbleSize val="0"/>
        </c:dLbls>
        <c:gapWidth val="150"/>
        <c:axId val="1545733360"/>
        <c:axId val="1545722544"/>
        <c:extLst/>
      </c:barChart>
      <c:catAx>
        <c:axId val="1545733360"/>
        <c:scaling>
          <c:orientation val="minMax"/>
        </c:scaling>
        <c:delete val="0"/>
        <c:axPos val="b"/>
        <c:numFmt formatCode="General" sourceLinked="1"/>
        <c:majorTickMark val="out"/>
        <c:minorTickMark val="none"/>
        <c:tickLblPos val="nextTo"/>
        <c:spPr>
          <a:noFill/>
          <a:ln w="9525" cap="flat" cmpd="sng" algn="ctr">
            <a:solidFill>
              <a:srgbClr val="002060"/>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45722544"/>
        <c:crosses val="autoZero"/>
        <c:auto val="1"/>
        <c:lblAlgn val="ctr"/>
        <c:lblOffset val="100"/>
        <c:noMultiLvlLbl val="0"/>
      </c:catAx>
      <c:valAx>
        <c:axId val="1545722544"/>
        <c:scaling>
          <c:orientation val="minMax"/>
          <c:max val="50"/>
          <c:min val="0"/>
        </c:scaling>
        <c:delete val="1"/>
        <c:axPos val="l"/>
        <c:numFmt formatCode="#,##0" sourceLinked="0"/>
        <c:majorTickMark val="out"/>
        <c:minorTickMark val="none"/>
        <c:tickLblPos val="nextTo"/>
        <c:crossAx val="1545733360"/>
        <c:crosses val="autoZero"/>
        <c:crossBetween val="between"/>
      </c:valAx>
      <c:spPr>
        <a:noFill/>
        <a:ln>
          <a:noFill/>
        </a:ln>
        <a:effectLst/>
      </c:spPr>
    </c:plotArea>
    <c:legend>
      <c:legendPos val="b"/>
      <c:layout>
        <c:manualLayout>
          <c:xMode val="edge"/>
          <c:yMode val="edge"/>
          <c:x val="0.12850178424867956"/>
          <c:y val="0.90629921259842516"/>
          <c:w val="0.74299643150264083"/>
          <c:h val="8.074182411863743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b="0"/>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1622586537704744E-2"/>
          <c:y val="5.6618631288121439E-2"/>
          <c:w val="0.64255256676538142"/>
          <c:h val="0.82492796511753019"/>
        </c:manualLayout>
      </c:layout>
      <c:barChart>
        <c:barDir val="col"/>
        <c:grouping val="stacked"/>
        <c:varyColors val="0"/>
        <c:ser>
          <c:idx val="0"/>
          <c:order val="0"/>
          <c:tx>
            <c:strRef>
              <c:f>'[Tablas y Gráficos.xlsx]Resultados - Clas. Agro-Urbano'!$C$93</c:f>
              <c:strCache>
                <c:ptCount val="1"/>
                <c:pt idx="0">
                  <c:v>Direct Taxes</c:v>
                </c:pt>
              </c:strCache>
            </c:strRef>
          </c:tx>
          <c:spPr>
            <a:solidFill>
              <a:schemeClr val="accent2">
                <a:lumMod val="75000"/>
              </a:schemeClr>
            </a:solidFill>
            <a:ln>
              <a:solidFill>
                <a:schemeClr val="tx1"/>
              </a:solidFill>
            </a:ln>
            <a:effectLst/>
          </c:spPr>
          <c:invertIfNegative val="0"/>
          <c:cat>
            <c:strRef>
              <c:f>'[Tablas y Gráficos.xlsx]Resultados - Clas. Agro-Urbano'!$D$92:$H$92</c:f>
              <c:strCache>
                <c:ptCount val="2"/>
                <c:pt idx="0">
                  <c:v>Agricultural Household</c:v>
                </c:pt>
                <c:pt idx="1">
                  <c:v>Non-agricultural household</c:v>
                </c:pt>
              </c:strCache>
              <c:extLst/>
            </c:strRef>
          </c:cat>
          <c:val>
            <c:numRef>
              <c:f>'[Tablas y Gráficos.xlsx]Resultados - Clas. Agro-Urbano'!$D$93:$H$93</c:f>
              <c:numCache>
                <c:formatCode>0.0%</c:formatCode>
                <c:ptCount val="2"/>
                <c:pt idx="0">
                  <c:v>-1.575697462779327E-3</c:v>
                </c:pt>
                <c:pt idx="1">
                  <c:v>-1.4223211714127128E-2</c:v>
                </c:pt>
              </c:numCache>
              <c:extLst/>
            </c:numRef>
          </c:val>
          <c:extLst>
            <c:ext xmlns:c16="http://schemas.microsoft.com/office/drawing/2014/chart" uri="{C3380CC4-5D6E-409C-BE32-E72D297353CC}">
              <c16:uniqueId val="{00000000-50BA-46E9-8DBA-4547C1BA7614}"/>
            </c:ext>
          </c:extLst>
        </c:ser>
        <c:ser>
          <c:idx val="1"/>
          <c:order val="1"/>
          <c:tx>
            <c:strRef>
              <c:f>'[Tablas y Gráficos.xlsx]Resultados - Clas. Agro-Urbano'!$C$94</c:f>
              <c:strCache>
                <c:ptCount val="1"/>
                <c:pt idx="0">
                  <c:v>JUNTOS</c:v>
                </c:pt>
              </c:strCache>
            </c:strRef>
          </c:tx>
          <c:spPr>
            <a:solidFill>
              <a:schemeClr val="accent5">
                <a:lumMod val="50000"/>
              </a:schemeClr>
            </a:solidFill>
            <a:ln>
              <a:solidFill>
                <a:schemeClr val="tx1"/>
              </a:solidFill>
            </a:ln>
            <a:effectLst/>
          </c:spPr>
          <c:invertIfNegative val="0"/>
          <c:cat>
            <c:strRef>
              <c:f>'[Tablas y Gráficos.xlsx]Resultados - Clas. Agro-Urbano'!$D$92:$H$92</c:f>
              <c:strCache>
                <c:ptCount val="2"/>
                <c:pt idx="0">
                  <c:v>Agricultural Household</c:v>
                </c:pt>
                <c:pt idx="1">
                  <c:v>Non-agricultural household</c:v>
                </c:pt>
              </c:strCache>
              <c:extLst/>
            </c:strRef>
          </c:cat>
          <c:val>
            <c:numRef>
              <c:f>'[Tablas y Gráficos.xlsx]Resultados - Clas. Agro-Urbano'!$D$94:$H$94</c:f>
              <c:numCache>
                <c:formatCode>0.0%</c:formatCode>
                <c:ptCount val="2"/>
                <c:pt idx="0">
                  <c:v>2.0210691936658878E-2</c:v>
                </c:pt>
                <c:pt idx="1">
                  <c:v>9.5458001430897719E-4</c:v>
                </c:pt>
              </c:numCache>
              <c:extLst/>
            </c:numRef>
          </c:val>
          <c:extLst>
            <c:ext xmlns:c16="http://schemas.microsoft.com/office/drawing/2014/chart" uri="{C3380CC4-5D6E-409C-BE32-E72D297353CC}">
              <c16:uniqueId val="{00000001-50BA-46E9-8DBA-4547C1BA7614}"/>
            </c:ext>
          </c:extLst>
        </c:ser>
        <c:ser>
          <c:idx val="2"/>
          <c:order val="2"/>
          <c:tx>
            <c:strRef>
              <c:f>'[Tablas y Gráficos.xlsx]Resultados - Clas. Agro-Urbano'!$C$95</c:f>
              <c:strCache>
                <c:ptCount val="1"/>
                <c:pt idx="0">
                  <c:v>Pensión 65</c:v>
                </c:pt>
              </c:strCache>
            </c:strRef>
          </c:tx>
          <c:spPr>
            <a:solidFill>
              <a:schemeClr val="accent5">
                <a:lumMod val="75000"/>
              </a:schemeClr>
            </a:solidFill>
            <a:ln>
              <a:solidFill>
                <a:schemeClr val="tx1"/>
              </a:solidFill>
            </a:ln>
            <a:effectLst/>
          </c:spPr>
          <c:invertIfNegative val="0"/>
          <c:cat>
            <c:strRef>
              <c:f>'[Tablas y Gráficos.xlsx]Resultados - Clas. Agro-Urbano'!$D$92:$H$92</c:f>
              <c:strCache>
                <c:ptCount val="2"/>
                <c:pt idx="0">
                  <c:v>Agricultural Household</c:v>
                </c:pt>
                <c:pt idx="1">
                  <c:v>Non-agricultural household</c:v>
                </c:pt>
              </c:strCache>
              <c:extLst/>
            </c:strRef>
          </c:cat>
          <c:val>
            <c:numRef>
              <c:f>'[Tablas y Gráficos.xlsx]Resultados - Clas. Agro-Urbano'!$D$95:$H$95</c:f>
              <c:numCache>
                <c:formatCode>0.0%</c:formatCode>
                <c:ptCount val="2"/>
                <c:pt idx="0">
                  <c:v>2.2266925195775257E-2</c:v>
                </c:pt>
                <c:pt idx="1">
                  <c:v>1.2725412150083129E-3</c:v>
                </c:pt>
              </c:numCache>
              <c:extLst/>
            </c:numRef>
          </c:val>
          <c:extLst>
            <c:ext xmlns:c16="http://schemas.microsoft.com/office/drawing/2014/chart" uri="{C3380CC4-5D6E-409C-BE32-E72D297353CC}">
              <c16:uniqueId val="{00000002-50BA-46E9-8DBA-4547C1BA7614}"/>
            </c:ext>
          </c:extLst>
        </c:ser>
        <c:ser>
          <c:idx val="3"/>
          <c:order val="3"/>
          <c:tx>
            <c:strRef>
              <c:f>'[Tablas y Gráficos.xlsx]Resultados - Clas. Agro-Urbano'!$C$96</c:f>
              <c:strCache>
                <c:ptCount val="1"/>
                <c:pt idx="0">
                  <c:v>Other monetary transfers</c:v>
                </c:pt>
              </c:strCache>
            </c:strRef>
          </c:tx>
          <c:spPr>
            <a:solidFill>
              <a:schemeClr val="accent5">
                <a:lumMod val="60000"/>
                <a:lumOff val="40000"/>
              </a:schemeClr>
            </a:solidFill>
            <a:ln>
              <a:solidFill>
                <a:schemeClr val="tx1"/>
              </a:solidFill>
            </a:ln>
            <a:effectLst/>
          </c:spPr>
          <c:invertIfNegative val="0"/>
          <c:cat>
            <c:strRef>
              <c:f>'[Tablas y Gráficos.xlsx]Resultados - Clas. Agro-Urbano'!$D$92:$H$92</c:f>
              <c:strCache>
                <c:ptCount val="2"/>
                <c:pt idx="0">
                  <c:v>Agricultural Household</c:v>
                </c:pt>
                <c:pt idx="1">
                  <c:v>Non-agricultural household</c:v>
                </c:pt>
              </c:strCache>
              <c:extLst/>
            </c:strRef>
          </c:cat>
          <c:val>
            <c:numRef>
              <c:f>'[Tablas y Gráficos.xlsx]Resultados - Clas. Agro-Urbano'!$D$96:$H$96</c:f>
              <c:numCache>
                <c:formatCode>0.0%</c:formatCode>
                <c:ptCount val="2"/>
                <c:pt idx="0">
                  <c:v>1.8210503180674378E-2</c:v>
                </c:pt>
                <c:pt idx="1">
                  <c:v>9.8796088400826005E-3</c:v>
                </c:pt>
              </c:numCache>
              <c:extLst/>
            </c:numRef>
          </c:val>
          <c:extLst>
            <c:ext xmlns:c16="http://schemas.microsoft.com/office/drawing/2014/chart" uri="{C3380CC4-5D6E-409C-BE32-E72D297353CC}">
              <c16:uniqueId val="{00000003-50BA-46E9-8DBA-4547C1BA7614}"/>
            </c:ext>
          </c:extLst>
        </c:ser>
        <c:ser>
          <c:idx val="5"/>
          <c:order val="4"/>
          <c:tx>
            <c:strRef>
              <c:f>'[Tablas y Gráficos.xlsx]Resultados - Clas. Agro-Urbano'!$C$97</c:f>
              <c:strCache>
                <c:ptCount val="1"/>
                <c:pt idx="0">
                  <c:v>Non-monetary public transfers</c:v>
                </c:pt>
              </c:strCache>
            </c:strRef>
          </c:tx>
          <c:spPr>
            <a:solidFill>
              <a:schemeClr val="accent5">
                <a:lumMod val="20000"/>
                <a:lumOff val="80000"/>
              </a:schemeClr>
            </a:solidFill>
            <a:ln>
              <a:solidFill>
                <a:schemeClr val="tx1"/>
              </a:solidFill>
            </a:ln>
            <a:effectLst/>
          </c:spPr>
          <c:invertIfNegative val="0"/>
          <c:cat>
            <c:strRef>
              <c:f>'[Tablas y Gráficos.xlsx]Resultados - Clas. Agro-Urbano'!$D$92:$H$92</c:f>
              <c:strCache>
                <c:ptCount val="2"/>
                <c:pt idx="0">
                  <c:v>Agricultural Household</c:v>
                </c:pt>
                <c:pt idx="1">
                  <c:v>Non-agricultural household</c:v>
                </c:pt>
              </c:strCache>
              <c:extLst/>
            </c:strRef>
          </c:cat>
          <c:val>
            <c:numRef>
              <c:f>'[Tablas y Gráficos.xlsx]Resultados - Clas. Agro-Urbano'!$D$97:$H$97</c:f>
              <c:numCache>
                <c:formatCode>0.0%</c:formatCode>
                <c:ptCount val="2"/>
                <c:pt idx="0">
                  <c:v>1.3607719755295478E-2</c:v>
                </c:pt>
                <c:pt idx="1">
                  <c:v>2.7918448321717E-3</c:v>
                </c:pt>
              </c:numCache>
              <c:extLst/>
            </c:numRef>
          </c:val>
          <c:extLst>
            <c:ext xmlns:c16="http://schemas.microsoft.com/office/drawing/2014/chart" uri="{C3380CC4-5D6E-409C-BE32-E72D297353CC}">
              <c16:uniqueId val="{00000004-50BA-46E9-8DBA-4547C1BA7614}"/>
            </c:ext>
          </c:extLst>
        </c:ser>
        <c:ser>
          <c:idx val="6"/>
          <c:order val="5"/>
          <c:tx>
            <c:strRef>
              <c:f>'[Tablas y Gráficos.xlsx]Resultados - Clas. Agro-Urbano'!$C$98</c:f>
              <c:strCache>
                <c:ptCount val="1"/>
                <c:pt idx="0">
                  <c:v>Indirect Taxes - IGV</c:v>
                </c:pt>
              </c:strCache>
            </c:strRef>
          </c:tx>
          <c:spPr>
            <a:solidFill>
              <a:schemeClr val="accent2">
                <a:lumMod val="40000"/>
                <a:lumOff val="60000"/>
              </a:schemeClr>
            </a:solidFill>
            <a:ln>
              <a:solidFill>
                <a:schemeClr val="tx1"/>
              </a:solidFill>
            </a:ln>
            <a:effectLst/>
          </c:spPr>
          <c:invertIfNegative val="0"/>
          <c:cat>
            <c:strRef>
              <c:f>'[Tablas y Gráficos.xlsx]Resultados - Clas. Agro-Urbano'!$D$92:$H$92</c:f>
              <c:strCache>
                <c:ptCount val="2"/>
                <c:pt idx="0">
                  <c:v>Agricultural Household</c:v>
                </c:pt>
                <c:pt idx="1">
                  <c:v>Non-agricultural household</c:v>
                </c:pt>
              </c:strCache>
              <c:extLst/>
            </c:strRef>
          </c:cat>
          <c:val>
            <c:numRef>
              <c:f>'[Tablas y Gráficos.xlsx]Resultados - Clas. Agro-Urbano'!$D$98:$H$98</c:f>
              <c:numCache>
                <c:formatCode>0.0%</c:formatCode>
                <c:ptCount val="2"/>
                <c:pt idx="0">
                  <c:v>-6.6913899634891902E-2</c:v>
                </c:pt>
                <c:pt idx="1">
                  <c:v>-7.9464873377849701E-2</c:v>
                </c:pt>
              </c:numCache>
              <c:extLst/>
            </c:numRef>
          </c:val>
          <c:extLst>
            <c:ext xmlns:c16="http://schemas.microsoft.com/office/drawing/2014/chart" uri="{C3380CC4-5D6E-409C-BE32-E72D297353CC}">
              <c16:uniqueId val="{00000005-50BA-46E9-8DBA-4547C1BA7614}"/>
            </c:ext>
          </c:extLst>
        </c:ser>
        <c:ser>
          <c:idx val="7"/>
          <c:order val="6"/>
          <c:tx>
            <c:strRef>
              <c:f>'[Tablas y Gráficos.xlsx]Resultados - Clas. Agro-Urbano'!$C$99</c:f>
              <c:strCache>
                <c:ptCount val="1"/>
                <c:pt idx="0">
                  <c:v>Indirect Taxes - ISC</c:v>
                </c:pt>
              </c:strCache>
            </c:strRef>
          </c:tx>
          <c:spPr>
            <a:solidFill>
              <a:schemeClr val="accent2">
                <a:lumMod val="50000"/>
              </a:schemeClr>
            </a:solidFill>
            <a:ln>
              <a:solidFill>
                <a:schemeClr val="tx1"/>
              </a:solidFill>
            </a:ln>
            <a:effectLst/>
          </c:spPr>
          <c:invertIfNegative val="0"/>
          <c:cat>
            <c:strRef>
              <c:f>'[Tablas y Gráficos.xlsx]Resultados - Clas. Agro-Urbano'!$D$92:$H$92</c:f>
              <c:strCache>
                <c:ptCount val="2"/>
                <c:pt idx="0">
                  <c:v>Agricultural Household</c:v>
                </c:pt>
                <c:pt idx="1">
                  <c:v>Non-agricultural household</c:v>
                </c:pt>
              </c:strCache>
              <c:extLst/>
            </c:strRef>
          </c:cat>
          <c:val>
            <c:numRef>
              <c:f>'[Tablas y Gráficos.xlsx]Resultados - Clas. Agro-Urbano'!$D$99:$H$99</c:f>
              <c:numCache>
                <c:formatCode>0.0%</c:formatCode>
                <c:ptCount val="2"/>
                <c:pt idx="0">
                  <c:v>-5.1555705204314045E-4</c:v>
                </c:pt>
                <c:pt idx="1">
                  <c:v>-6.2751102229023441E-4</c:v>
                </c:pt>
              </c:numCache>
              <c:extLst/>
            </c:numRef>
          </c:val>
          <c:extLst>
            <c:ext xmlns:c16="http://schemas.microsoft.com/office/drawing/2014/chart" uri="{C3380CC4-5D6E-409C-BE32-E72D297353CC}">
              <c16:uniqueId val="{00000006-50BA-46E9-8DBA-4547C1BA7614}"/>
            </c:ext>
          </c:extLst>
        </c:ser>
        <c:ser>
          <c:idx val="8"/>
          <c:order val="7"/>
          <c:tx>
            <c:strRef>
              <c:f>'[Tablas y Gráficos.xlsx]Resultados - Clas. Agro-Urbano'!$C$100</c:f>
              <c:strCache>
                <c:ptCount val="1"/>
                <c:pt idx="0">
                  <c:v>Health</c:v>
                </c:pt>
              </c:strCache>
            </c:strRef>
          </c:tx>
          <c:spPr>
            <a:solidFill>
              <a:schemeClr val="tx1"/>
            </a:solidFill>
            <a:ln>
              <a:solidFill>
                <a:schemeClr val="tx1"/>
              </a:solidFill>
            </a:ln>
            <a:effectLst/>
          </c:spPr>
          <c:invertIfNegative val="0"/>
          <c:cat>
            <c:strRef>
              <c:f>'[Tablas y Gráficos.xlsx]Resultados - Clas. Agro-Urbano'!$D$92:$H$92</c:f>
              <c:strCache>
                <c:ptCount val="2"/>
                <c:pt idx="0">
                  <c:v>Agricultural Household</c:v>
                </c:pt>
                <c:pt idx="1">
                  <c:v>Non-agricultural household</c:v>
                </c:pt>
              </c:strCache>
              <c:extLst/>
            </c:strRef>
          </c:cat>
          <c:val>
            <c:numRef>
              <c:f>'[Tablas y Gráficos.xlsx]Resultados - Clas. Agro-Urbano'!$D$100:$H$100</c:f>
              <c:numCache>
                <c:formatCode>0.0%</c:formatCode>
                <c:ptCount val="2"/>
                <c:pt idx="0">
                  <c:v>3.1954399754231283E-2</c:v>
                </c:pt>
                <c:pt idx="1">
                  <c:v>1.7551303883637272E-2</c:v>
                </c:pt>
              </c:numCache>
              <c:extLst/>
            </c:numRef>
          </c:val>
          <c:extLst>
            <c:ext xmlns:c16="http://schemas.microsoft.com/office/drawing/2014/chart" uri="{C3380CC4-5D6E-409C-BE32-E72D297353CC}">
              <c16:uniqueId val="{00000007-50BA-46E9-8DBA-4547C1BA7614}"/>
            </c:ext>
          </c:extLst>
        </c:ser>
        <c:ser>
          <c:idx val="9"/>
          <c:order val="8"/>
          <c:tx>
            <c:strRef>
              <c:f>'[Tablas y Gráficos.xlsx]Resultados - Clas. Agro-Urbano'!$C$101</c:f>
              <c:strCache>
                <c:ptCount val="1"/>
                <c:pt idx="0">
                  <c:v>Education</c:v>
                </c:pt>
              </c:strCache>
            </c:strRef>
          </c:tx>
          <c:spPr>
            <a:solidFill>
              <a:schemeClr val="accent3">
                <a:lumMod val="40000"/>
                <a:lumOff val="60000"/>
              </a:schemeClr>
            </a:solidFill>
            <a:ln>
              <a:solidFill>
                <a:schemeClr val="tx1"/>
              </a:solidFill>
            </a:ln>
            <a:effectLst/>
          </c:spPr>
          <c:invertIfNegative val="0"/>
          <c:cat>
            <c:strRef>
              <c:f>'[Tablas y Gráficos.xlsx]Resultados - Clas. Agro-Urbano'!$D$92:$H$92</c:f>
              <c:strCache>
                <c:ptCount val="2"/>
                <c:pt idx="0">
                  <c:v>Agricultural Household</c:v>
                </c:pt>
                <c:pt idx="1">
                  <c:v>Non-agricultural household</c:v>
                </c:pt>
              </c:strCache>
              <c:extLst/>
            </c:strRef>
          </c:cat>
          <c:val>
            <c:numRef>
              <c:f>'[Tablas y Gráficos.xlsx]Resultados - Clas. Agro-Urbano'!$D$101:$H$101</c:f>
              <c:numCache>
                <c:formatCode>0.0%</c:formatCode>
                <c:ptCount val="2"/>
                <c:pt idx="0">
                  <c:v>0.20585613397848282</c:v>
                </c:pt>
                <c:pt idx="1">
                  <c:v>5.945536723980252E-2</c:v>
                </c:pt>
              </c:numCache>
              <c:extLst/>
            </c:numRef>
          </c:val>
          <c:extLst>
            <c:ext xmlns:c16="http://schemas.microsoft.com/office/drawing/2014/chart" uri="{C3380CC4-5D6E-409C-BE32-E72D297353CC}">
              <c16:uniqueId val="{00000008-50BA-46E9-8DBA-4547C1BA7614}"/>
            </c:ext>
          </c:extLst>
        </c:ser>
        <c:dLbls>
          <c:showLegendKey val="0"/>
          <c:showVal val="0"/>
          <c:showCatName val="0"/>
          <c:showSerName val="0"/>
          <c:showPercent val="0"/>
          <c:showBubbleSize val="0"/>
        </c:dLbls>
        <c:gapWidth val="150"/>
        <c:overlap val="100"/>
        <c:axId val="1823585232"/>
        <c:axId val="1823586480"/>
      </c:barChart>
      <c:lineChart>
        <c:grouping val="standard"/>
        <c:varyColors val="0"/>
        <c:ser>
          <c:idx val="10"/>
          <c:order val="9"/>
          <c:tx>
            <c:strRef>
              <c:f>'[Tablas y Gráficos.xlsx]Resultados - Clas. Agro-Urbano'!$C$102</c:f>
              <c:strCache>
                <c:ptCount val="1"/>
                <c:pt idx="0">
                  <c:v>Monetary impact</c:v>
                </c:pt>
              </c:strCache>
            </c:strRef>
          </c:tx>
          <c:spPr>
            <a:ln w="25400" cap="rnd">
              <a:noFill/>
              <a:round/>
            </a:ln>
            <a:effectLst/>
          </c:spPr>
          <c:marker>
            <c:symbol val="circle"/>
            <c:size val="7"/>
            <c:spPr>
              <a:noFill/>
              <a:ln w="25400">
                <a:solidFill>
                  <a:srgbClr val="002060"/>
                </a:solidFill>
              </a:ln>
              <a:effectLst/>
            </c:spPr>
          </c:marker>
          <c:cat>
            <c:strRef>
              <c:f>'[Tablas y Gráficos.xlsx]Resultados - Clas. Agro-Urbano'!$D$92:$H$92</c:f>
              <c:strCache>
                <c:ptCount val="2"/>
                <c:pt idx="0">
                  <c:v>Agricultural Household</c:v>
                </c:pt>
                <c:pt idx="1">
                  <c:v>Non-agricultural household</c:v>
                </c:pt>
              </c:strCache>
              <c:extLst/>
            </c:strRef>
          </c:cat>
          <c:val>
            <c:numRef>
              <c:f>'[Tablas y Gráficos.xlsx]Resultados - Clas. Agro-Urbano'!$D$102:$H$102</c:f>
              <c:numCache>
                <c:formatCode>0.0%</c:formatCode>
                <c:ptCount val="2"/>
                <c:pt idx="0">
                  <c:v>-8.3170338366058659E-3</c:v>
                </c:pt>
                <c:pt idx="1">
                  <c:v>-8.2208866044867171E-2</c:v>
                </c:pt>
              </c:numCache>
              <c:extLst/>
            </c:numRef>
          </c:val>
          <c:smooth val="0"/>
          <c:extLst>
            <c:ext xmlns:c16="http://schemas.microsoft.com/office/drawing/2014/chart" uri="{C3380CC4-5D6E-409C-BE32-E72D297353CC}">
              <c16:uniqueId val="{00000009-50BA-46E9-8DBA-4547C1BA7614}"/>
            </c:ext>
          </c:extLst>
        </c:ser>
        <c:ser>
          <c:idx val="11"/>
          <c:order val="10"/>
          <c:tx>
            <c:strRef>
              <c:f>'[Tablas y Gráficos.xlsx]Resultados - Clas. Agro-Urbano'!$C$103</c:f>
              <c:strCache>
                <c:ptCount val="1"/>
                <c:pt idx="0">
                  <c:v>Total impact</c:v>
                </c:pt>
              </c:strCache>
            </c:strRef>
          </c:tx>
          <c:spPr>
            <a:ln w="25400" cap="rnd">
              <a:noFill/>
              <a:round/>
            </a:ln>
            <a:effectLst/>
          </c:spPr>
          <c:marker>
            <c:symbol val="circle"/>
            <c:size val="7"/>
            <c:spPr>
              <a:solidFill>
                <a:schemeClr val="accent6">
                  <a:lumMod val="75000"/>
                </a:schemeClr>
              </a:solidFill>
              <a:ln w="9525">
                <a:noFill/>
              </a:ln>
              <a:effectLst/>
            </c:spPr>
          </c:marker>
          <c:cat>
            <c:strRef>
              <c:f>'[Tablas y Gráficos.xlsx]Resultados - Clas. Agro-Urbano'!$D$92:$H$92</c:f>
              <c:strCache>
                <c:ptCount val="2"/>
                <c:pt idx="0">
                  <c:v>Agricultural Household</c:v>
                </c:pt>
                <c:pt idx="1">
                  <c:v>Non-agricultural household</c:v>
                </c:pt>
              </c:strCache>
              <c:extLst/>
            </c:strRef>
          </c:cat>
          <c:val>
            <c:numRef>
              <c:f>'[Tablas y Gráficos.xlsx]Resultados - Clas. Agro-Urbano'!$D$103:$H$103</c:f>
              <c:numCache>
                <c:formatCode>0.0%</c:formatCode>
                <c:ptCount val="2"/>
                <c:pt idx="0">
                  <c:v>0.24310121965140374</c:v>
                </c:pt>
                <c:pt idx="1">
                  <c:v>-2.4103500892556761E-3</c:v>
                </c:pt>
              </c:numCache>
              <c:extLst/>
            </c:numRef>
          </c:val>
          <c:smooth val="0"/>
          <c:extLst>
            <c:ext xmlns:c16="http://schemas.microsoft.com/office/drawing/2014/chart" uri="{C3380CC4-5D6E-409C-BE32-E72D297353CC}">
              <c16:uniqueId val="{0000000A-50BA-46E9-8DBA-4547C1BA7614}"/>
            </c:ext>
          </c:extLst>
        </c:ser>
        <c:dLbls>
          <c:showLegendKey val="0"/>
          <c:showVal val="0"/>
          <c:showCatName val="0"/>
          <c:showSerName val="0"/>
          <c:showPercent val="0"/>
          <c:showBubbleSize val="0"/>
        </c:dLbls>
        <c:marker val="1"/>
        <c:smooth val="0"/>
        <c:axId val="1823585232"/>
        <c:axId val="1823586480"/>
      </c:lineChart>
      <c:catAx>
        <c:axId val="1823585232"/>
        <c:scaling>
          <c:orientation val="minMax"/>
        </c:scaling>
        <c:delete val="0"/>
        <c:axPos val="b"/>
        <c:numFmt formatCode="General" sourceLinked="1"/>
        <c:majorTickMark val="out"/>
        <c:minorTickMark val="none"/>
        <c:tickLblPos val="low"/>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1823586480"/>
        <c:crosses val="autoZero"/>
        <c:auto val="1"/>
        <c:lblAlgn val="ctr"/>
        <c:lblOffset val="100"/>
        <c:noMultiLvlLbl val="0"/>
      </c:catAx>
      <c:valAx>
        <c:axId val="1823586480"/>
        <c:scaling>
          <c:orientation val="minMax"/>
          <c:max val="0.35000000000000003"/>
          <c:min val="-0.1"/>
        </c:scaling>
        <c:delete val="0"/>
        <c:axPos val="l"/>
        <c:majorGridlines>
          <c:spPr>
            <a:ln w="3175" cap="flat" cmpd="sng" algn="ctr">
              <a:solidFill>
                <a:schemeClr val="bg1">
                  <a:lumMod val="85000"/>
                </a:schemeClr>
              </a:solidFill>
              <a:prstDash val="dash"/>
              <a:round/>
            </a:ln>
            <a:effectLst/>
          </c:spPr>
        </c:majorGridlines>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1823585232"/>
        <c:crosses val="autoZero"/>
        <c:crossBetween val="between"/>
        <c:majorUnit val="5.000000000000001E-2"/>
      </c:valAx>
      <c:spPr>
        <a:noFill/>
        <a:ln>
          <a:noFill/>
        </a:ln>
        <a:effectLst/>
      </c:spPr>
    </c:plotArea>
    <c:legend>
      <c:legendPos val="r"/>
      <c:layout>
        <c:manualLayout>
          <c:xMode val="edge"/>
          <c:yMode val="edge"/>
          <c:x val="0.72728046671344415"/>
          <c:y val="2.684231577213305E-2"/>
          <c:w val="0.26133911043780772"/>
          <c:h val="0.95573945300238716"/>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Sheet1!$G$32</c:f>
              <c:strCache>
                <c:ptCount val="1"/>
                <c:pt idx="0">
                  <c:v>Female</c:v>
                </c:pt>
              </c:strCache>
            </c:strRef>
          </c:tx>
          <c:spPr>
            <a:ln w="28575" cap="rnd">
              <a:solidFill>
                <a:srgbClr val="4472C4">
                  <a:lumMod val="60000"/>
                  <a:lumOff val="40000"/>
                </a:srgbClr>
              </a:solidFill>
              <a:round/>
            </a:ln>
            <a:effectLst/>
          </c:spPr>
          <c:marker>
            <c:symbol val="none"/>
          </c:marker>
          <c:dLbls>
            <c:dLbl>
              <c:idx val="0"/>
              <c:layout>
                <c:manualLayout>
                  <c:x val="-1.1111111111111124E-2"/>
                  <c:y val="-4.16666666666666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896-4F9A-9ECA-5AF5F07D7BB9}"/>
                </c:ext>
              </c:extLst>
            </c:dLbl>
            <c:dLbl>
              <c:idx val="18"/>
              <c:layout>
                <c:manualLayout>
                  <c:x val="-3.6111111111111212E-2"/>
                  <c:y val="-7.407407407407408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896-4F9A-9ECA-5AF5F07D7BB9}"/>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j-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Sheet1!$H$1:$Z$1</c:f>
              <c:numCache>
                <c:formatCode>General</c:formatCode>
                <c:ptCount val="19"/>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pt idx="16">
                  <c:v>2020</c:v>
                </c:pt>
                <c:pt idx="17">
                  <c:v>2021</c:v>
                </c:pt>
                <c:pt idx="18">
                  <c:v>2022</c:v>
                </c:pt>
              </c:numCache>
            </c:numRef>
          </c:cat>
          <c:val>
            <c:numRef>
              <c:f>Sheet1!$H$32:$Z$32</c:f>
              <c:numCache>
                <c:formatCode>0.0</c:formatCode>
                <c:ptCount val="19"/>
                <c:pt idx="0">
                  <c:v>63.741999999999997</c:v>
                </c:pt>
                <c:pt idx="1">
                  <c:v>62.625</c:v>
                </c:pt>
                <c:pt idx="2">
                  <c:v>61.374000000000002</c:v>
                </c:pt>
                <c:pt idx="3">
                  <c:v>59.768000000000001</c:v>
                </c:pt>
                <c:pt idx="4">
                  <c:v>59.192999999999998</c:v>
                </c:pt>
                <c:pt idx="5">
                  <c:v>58.984000000000002</c:v>
                </c:pt>
                <c:pt idx="6">
                  <c:v>58.773000000000003</c:v>
                </c:pt>
                <c:pt idx="7">
                  <c:v>57.609000000000002</c:v>
                </c:pt>
                <c:pt idx="8">
                  <c:v>56.268000000000001</c:v>
                </c:pt>
                <c:pt idx="9">
                  <c:v>56.058999999999997</c:v>
                </c:pt>
                <c:pt idx="10">
                  <c:v>55.875999999999998</c:v>
                </c:pt>
                <c:pt idx="11">
                  <c:v>55.185000000000002</c:v>
                </c:pt>
                <c:pt idx="12">
                  <c:v>55.567</c:v>
                </c:pt>
                <c:pt idx="13">
                  <c:v>55.731999999999999</c:v>
                </c:pt>
                <c:pt idx="14">
                  <c:v>55.847000000000001</c:v>
                </c:pt>
                <c:pt idx="15">
                  <c:v>55.646000000000001</c:v>
                </c:pt>
                <c:pt idx="16">
                  <c:v>60.795999999999999</c:v>
                </c:pt>
                <c:pt idx="17">
                  <c:v>58.000999999999998</c:v>
                </c:pt>
                <c:pt idx="18">
                  <c:v>55.65</c:v>
                </c:pt>
              </c:numCache>
            </c:numRef>
          </c:val>
          <c:smooth val="0"/>
          <c:extLst>
            <c:ext xmlns:c16="http://schemas.microsoft.com/office/drawing/2014/chart" uri="{C3380CC4-5D6E-409C-BE32-E72D297353CC}">
              <c16:uniqueId val="{00000002-5896-4F9A-9ECA-5AF5F07D7BB9}"/>
            </c:ext>
          </c:extLst>
        </c:ser>
        <c:ser>
          <c:idx val="1"/>
          <c:order val="1"/>
          <c:tx>
            <c:strRef>
              <c:f>Sheet1!$G$33</c:f>
              <c:strCache>
                <c:ptCount val="1"/>
                <c:pt idx="0">
                  <c:v>Male</c:v>
                </c:pt>
              </c:strCache>
            </c:strRef>
          </c:tx>
          <c:spPr>
            <a:ln w="28575" cap="rnd">
              <a:solidFill>
                <a:srgbClr val="4472C4">
                  <a:lumMod val="50000"/>
                </a:srgbClr>
              </a:solidFill>
              <a:round/>
            </a:ln>
            <a:effectLst/>
          </c:spPr>
          <c:marker>
            <c:symbol val="none"/>
          </c:marker>
          <c:dLbls>
            <c:dLbl>
              <c:idx val="0"/>
              <c:layout>
                <c:manualLayout>
                  <c:x val="-2.5000000000000012E-2"/>
                  <c:y val="6.01851851851851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896-4F9A-9ECA-5AF5F07D7BB9}"/>
                </c:ext>
              </c:extLst>
            </c:dLbl>
            <c:dLbl>
              <c:idx val="18"/>
              <c:layout>
                <c:manualLayout>
                  <c:x val="-4.1666666666666768E-2"/>
                  <c:y val="4.16666666666666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896-4F9A-9ECA-5AF5F07D7BB9}"/>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j-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Sheet1!$H$1:$Z$1</c:f>
              <c:numCache>
                <c:formatCode>General</c:formatCode>
                <c:ptCount val="19"/>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pt idx="16">
                  <c:v>2020</c:v>
                </c:pt>
                <c:pt idx="17">
                  <c:v>2021</c:v>
                </c:pt>
                <c:pt idx="18">
                  <c:v>2022</c:v>
                </c:pt>
              </c:numCache>
            </c:numRef>
          </c:cat>
          <c:val>
            <c:numRef>
              <c:f>Sheet1!$H$33:$Z$33</c:f>
              <c:numCache>
                <c:formatCode>0.0</c:formatCode>
                <c:ptCount val="19"/>
                <c:pt idx="0">
                  <c:v>47.167999999999999</c:v>
                </c:pt>
                <c:pt idx="1">
                  <c:v>46.201000000000001</c:v>
                </c:pt>
                <c:pt idx="2">
                  <c:v>44.628</c:v>
                </c:pt>
                <c:pt idx="3">
                  <c:v>43.19</c:v>
                </c:pt>
                <c:pt idx="4">
                  <c:v>42.802999999999997</c:v>
                </c:pt>
                <c:pt idx="5">
                  <c:v>42.17</c:v>
                </c:pt>
                <c:pt idx="6">
                  <c:v>42.149000000000001</c:v>
                </c:pt>
                <c:pt idx="7">
                  <c:v>43.207000000000001</c:v>
                </c:pt>
                <c:pt idx="8">
                  <c:v>41.527000000000001</c:v>
                </c:pt>
                <c:pt idx="9">
                  <c:v>40.918999999999997</c:v>
                </c:pt>
                <c:pt idx="10">
                  <c:v>42.051000000000002</c:v>
                </c:pt>
                <c:pt idx="11">
                  <c:v>41.966000000000001</c:v>
                </c:pt>
                <c:pt idx="12">
                  <c:v>42.548000000000002</c:v>
                </c:pt>
                <c:pt idx="13">
                  <c:v>43.302999999999997</c:v>
                </c:pt>
                <c:pt idx="14">
                  <c:v>43.960999999999999</c:v>
                </c:pt>
                <c:pt idx="15">
                  <c:v>43.567</c:v>
                </c:pt>
                <c:pt idx="16">
                  <c:v>47.972999999999999</c:v>
                </c:pt>
                <c:pt idx="17">
                  <c:v>43.715000000000003</c:v>
                </c:pt>
                <c:pt idx="18">
                  <c:v>42.451999999999998</c:v>
                </c:pt>
              </c:numCache>
            </c:numRef>
          </c:val>
          <c:smooth val="0"/>
          <c:extLst>
            <c:ext xmlns:c16="http://schemas.microsoft.com/office/drawing/2014/chart" uri="{C3380CC4-5D6E-409C-BE32-E72D297353CC}">
              <c16:uniqueId val="{00000005-5896-4F9A-9ECA-5AF5F07D7BB9}"/>
            </c:ext>
          </c:extLst>
        </c:ser>
        <c:dLbls>
          <c:showLegendKey val="0"/>
          <c:showVal val="0"/>
          <c:showCatName val="0"/>
          <c:showSerName val="0"/>
          <c:showPercent val="0"/>
          <c:showBubbleSize val="0"/>
        </c:dLbls>
        <c:smooth val="0"/>
        <c:axId val="1828620688"/>
        <c:axId val="1828622128"/>
      </c:lineChart>
      <c:catAx>
        <c:axId val="1828620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ysClr val="windowText" lastClr="000000"/>
                </a:solidFill>
                <a:latin typeface="+mj-lt"/>
                <a:ea typeface="+mn-ea"/>
                <a:cs typeface="+mn-cs"/>
              </a:defRPr>
            </a:pPr>
            <a:endParaRPr lang="en-US"/>
          </a:p>
        </c:txPr>
        <c:crossAx val="1828622128"/>
        <c:crosses val="autoZero"/>
        <c:auto val="1"/>
        <c:lblAlgn val="ctr"/>
        <c:lblOffset val="100"/>
        <c:noMultiLvlLbl val="0"/>
      </c:catAx>
      <c:valAx>
        <c:axId val="1828622128"/>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j-lt"/>
                <a:ea typeface="+mn-ea"/>
                <a:cs typeface="+mn-cs"/>
              </a:defRPr>
            </a:pPr>
            <a:endParaRPr lang="en-US"/>
          </a:p>
        </c:txPr>
        <c:crossAx val="18286206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j-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mj-lt"/>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3"/>
          <c:order val="0"/>
          <c:tx>
            <c:strRef>
              <c:f>Intro!$B$59</c:f>
              <c:strCache>
                <c:ptCount val="1"/>
                <c:pt idx="0">
                  <c:v>Agriculture, female</c:v>
                </c:pt>
              </c:strCache>
            </c:strRef>
          </c:tx>
          <c:spPr>
            <a:ln>
              <a:solidFill>
                <a:schemeClr val="tx1"/>
              </a:solidFill>
            </a:ln>
          </c:spPr>
          <c:marker>
            <c:symbol val="none"/>
          </c:marker>
          <c:cat>
            <c:numRef>
              <c:f>Intro!$C$58:$Z$58</c:f>
              <c:numCache>
                <c:formatCode>General</c:formatCode>
                <c:ptCount val="24"/>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pt idx="18">
                  <c:v>2017</c:v>
                </c:pt>
                <c:pt idx="19">
                  <c:v>2018</c:v>
                </c:pt>
                <c:pt idx="20">
                  <c:v>2019</c:v>
                </c:pt>
                <c:pt idx="21">
                  <c:v>2020</c:v>
                </c:pt>
                <c:pt idx="22">
                  <c:v>2021</c:v>
                </c:pt>
                <c:pt idx="23">
                  <c:v>2022</c:v>
                </c:pt>
              </c:numCache>
            </c:numRef>
          </c:cat>
          <c:val>
            <c:numRef>
              <c:f>Intro!$C$59:$Z$59</c:f>
              <c:numCache>
                <c:formatCode>General</c:formatCode>
                <c:ptCount val="24"/>
                <c:pt idx="0">
                  <c:v>38.910164136653698</c:v>
                </c:pt>
                <c:pt idx="1">
                  <c:v>38.569800808383498</c:v>
                </c:pt>
                <c:pt idx="2">
                  <c:v>38.826751250430199</c:v>
                </c:pt>
                <c:pt idx="3">
                  <c:v>37.738689037757901</c:v>
                </c:pt>
                <c:pt idx="4">
                  <c:v>36.825954298771698</c:v>
                </c:pt>
                <c:pt idx="5">
                  <c:v>35.741269453179598</c:v>
                </c:pt>
                <c:pt idx="6">
                  <c:v>34.204126896785297</c:v>
                </c:pt>
                <c:pt idx="7">
                  <c:v>32.443897253290501</c:v>
                </c:pt>
                <c:pt idx="8">
                  <c:v>30.405959649848398</c:v>
                </c:pt>
                <c:pt idx="9">
                  <c:v>28.1629211917943</c:v>
                </c:pt>
                <c:pt idx="10">
                  <c:v>27.840437192615202</c:v>
                </c:pt>
                <c:pt idx="11">
                  <c:v>26.360985643538001</c:v>
                </c:pt>
                <c:pt idx="12">
                  <c:v>25.037276949824602</c:v>
                </c:pt>
                <c:pt idx="13">
                  <c:v>24.396195296084599</c:v>
                </c:pt>
                <c:pt idx="14">
                  <c:v>24.506620952743098</c:v>
                </c:pt>
                <c:pt idx="15">
                  <c:v>24.6989383250984</c:v>
                </c:pt>
                <c:pt idx="16">
                  <c:v>25.221685780858799</c:v>
                </c:pt>
                <c:pt idx="17">
                  <c:v>25.3905025917045</c:v>
                </c:pt>
                <c:pt idx="18">
                  <c:v>23.9461449693482</c:v>
                </c:pt>
                <c:pt idx="19">
                  <c:v>23.714316924383201</c:v>
                </c:pt>
                <c:pt idx="20">
                  <c:v>23.829513616667001</c:v>
                </c:pt>
                <c:pt idx="21">
                  <c:v>32.582029702670397</c:v>
                </c:pt>
                <c:pt idx="22">
                  <c:v>28.0669567859278</c:v>
                </c:pt>
                <c:pt idx="23">
                  <c:v>25.5339963284517</c:v>
                </c:pt>
              </c:numCache>
            </c:numRef>
          </c:val>
          <c:smooth val="0"/>
          <c:extLst>
            <c:ext xmlns:c16="http://schemas.microsoft.com/office/drawing/2014/chart" uri="{C3380CC4-5D6E-409C-BE32-E72D297353CC}">
              <c16:uniqueId val="{00000000-30FF-4CFB-B000-98E4092C09CF}"/>
            </c:ext>
          </c:extLst>
        </c:ser>
        <c:ser>
          <c:idx val="4"/>
          <c:order val="1"/>
          <c:tx>
            <c:strRef>
              <c:f>Intro!$B$60</c:f>
              <c:strCache>
                <c:ptCount val="1"/>
                <c:pt idx="0">
                  <c:v>Industry, female</c:v>
                </c:pt>
              </c:strCache>
            </c:strRef>
          </c:tx>
          <c:spPr>
            <a:ln>
              <a:solidFill>
                <a:schemeClr val="accent3"/>
              </a:solidFill>
            </a:ln>
          </c:spPr>
          <c:marker>
            <c:symbol val="none"/>
          </c:marker>
          <c:cat>
            <c:numRef>
              <c:f>Intro!$C$58:$Z$58</c:f>
              <c:numCache>
                <c:formatCode>General</c:formatCode>
                <c:ptCount val="24"/>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pt idx="18">
                  <c:v>2017</c:v>
                </c:pt>
                <c:pt idx="19">
                  <c:v>2018</c:v>
                </c:pt>
                <c:pt idx="20">
                  <c:v>2019</c:v>
                </c:pt>
                <c:pt idx="21">
                  <c:v>2020</c:v>
                </c:pt>
                <c:pt idx="22">
                  <c:v>2021</c:v>
                </c:pt>
                <c:pt idx="23">
                  <c:v>2022</c:v>
                </c:pt>
              </c:numCache>
            </c:numRef>
          </c:cat>
          <c:val>
            <c:numRef>
              <c:f>Intro!$C$60:$Z$60</c:f>
              <c:numCache>
                <c:formatCode>General</c:formatCode>
                <c:ptCount val="24"/>
                <c:pt idx="0">
                  <c:v>10.0267771586304</c:v>
                </c:pt>
                <c:pt idx="1">
                  <c:v>9.8737223682768693</c:v>
                </c:pt>
                <c:pt idx="2">
                  <c:v>9.8032494235916392</c:v>
                </c:pt>
                <c:pt idx="3">
                  <c:v>9.8093610024801592</c:v>
                </c:pt>
                <c:pt idx="4">
                  <c:v>9.8054708924826102</c:v>
                </c:pt>
                <c:pt idx="5">
                  <c:v>9.7599350638827396</c:v>
                </c:pt>
                <c:pt idx="6">
                  <c:v>9.8124314829315793</c:v>
                </c:pt>
                <c:pt idx="7">
                  <c:v>9.8618541642095199</c:v>
                </c:pt>
                <c:pt idx="8">
                  <c:v>9.9671616171992294</c:v>
                </c:pt>
                <c:pt idx="9">
                  <c:v>10.1041572192494</c:v>
                </c:pt>
                <c:pt idx="10">
                  <c:v>10.117267991655799</c:v>
                </c:pt>
                <c:pt idx="11">
                  <c:v>10.1565571961607</c:v>
                </c:pt>
                <c:pt idx="12">
                  <c:v>10.1867000388742</c:v>
                </c:pt>
                <c:pt idx="13">
                  <c:v>10.4492702721392</c:v>
                </c:pt>
                <c:pt idx="14">
                  <c:v>10.2964084687666</c:v>
                </c:pt>
                <c:pt idx="15">
                  <c:v>9.7338036595053801</c:v>
                </c:pt>
                <c:pt idx="16">
                  <c:v>9.5381724778013997</c:v>
                </c:pt>
                <c:pt idx="17">
                  <c:v>9.5895562907430492</c:v>
                </c:pt>
                <c:pt idx="18">
                  <c:v>9.34789599497973</c:v>
                </c:pt>
                <c:pt idx="19">
                  <c:v>9.3061378625083702</c:v>
                </c:pt>
                <c:pt idx="20">
                  <c:v>8.9383679447675703</c:v>
                </c:pt>
                <c:pt idx="21">
                  <c:v>9.05033620847089</c:v>
                </c:pt>
                <c:pt idx="22">
                  <c:v>8.72689582401763</c:v>
                </c:pt>
                <c:pt idx="23">
                  <c:v>9.3666628544611701</c:v>
                </c:pt>
              </c:numCache>
            </c:numRef>
          </c:val>
          <c:smooth val="0"/>
          <c:extLst>
            <c:ext xmlns:c16="http://schemas.microsoft.com/office/drawing/2014/chart" uri="{C3380CC4-5D6E-409C-BE32-E72D297353CC}">
              <c16:uniqueId val="{00000001-30FF-4CFB-B000-98E4092C09CF}"/>
            </c:ext>
          </c:extLst>
        </c:ser>
        <c:ser>
          <c:idx val="5"/>
          <c:order val="2"/>
          <c:tx>
            <c:strRef>
              <c:f>Intro!$B$61</c:f>
              <c:strCache>
                <c:ptCount val="1"/>
                <c:pt idx="0">
                  <c:v>Service, female</c:v>
                </c:pt>
              </c:strCache>
            </c:strRef>
          </c:tx>
          <c:spPr>
            <a:ln>
              <a:solidFill>
                <a:schemeClr val="accent5"/>
              </a:solidFill>
            </a:ln>
          </c:spPr>
          <c:marker>
            <c:symbol val="none"/>
          </c:marker>
          <c:cat>
            <c:numRef>
              <c:f>Intro!$C$58:$Z$58</c:f>
              <c:numCache>
                <c:formatCode>General</c:formatCode>
                <c:ptCount val="24"/>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pt idx="18">
                  <c:v>2017</c:v>
                </c:pt>
                <c:pt idx="19">
                  <c:v>2018</c:v>
                </c:pt>
                <c:pt idx="20">
                  <c:v>2019</c:v>
                </c:pt>
                <c:pt idx="21">
                  <c:v>2020</c:v>
                </c:pt>
                <c:pt idx="22">
                  <c:v>2021</c:v>
                </c:pt>
                <c:pt idx="23">
                  <c:v>2022</c:v>
                </c:pt>
              </c:numCache>
            </c:numRef>
          </c:cat>
          <c:val>
            <c:numRef>
              <c:f>Intro!$C$61:$Z$61</c:f>
              <c:numCache>
                <c:formatCode>General</c:formatCode>
                <c:ptCount val="24"/>
                <c:pt idx="0">
                  <c:v>51.0630587047158</c:v>
                </c:pt>
                <c:pt idx="1">
                  <c:v>51.556476823339601</c:v>
                </c:pt>
                <c:pt idx="2">
                  <c:v>51.370019267453898</c:v>
                </c:pt>
                <c:pt idx="3">
                  <c:v>52.451968998340398</c:v>
                </c:pt>
                <c:pt idx="4">
                  <c:v>53.368574808745699</c:v>
                </c:pt>
                <c:pt idx="5">
                  <c:v>54.498795482937702</c:v>
                </c:pt>
                <c:pt idx="6">
                  <c:v>55.983441620283202</c:v>
                </c:pt>
                <c:pt idx="7">
                  <c:v>57.694248582499903</c:v>
                </c:pt>
                <c:pt idx="8">
                  <c:v>59.626863670855798</c:v>
                </c:pt>
                <c:pt idx="9">
                  <c:v>61.732906769478298</c:v>
                </c:pt>
                <c:pt idx="10">
                  <c:v>62.042294815729001</c:v>
                </c:pt>
                <c:pt idx="11">
                  <c:v>63.482485077311303</c:v>
                </c:pt>
                <c:pt idx="12">
                  <c:v>64.776023011301206</c:v>
                </c:pt>
                <c:pt idx="13">
                  <c:v>65.154534431776298</c:v>
                </c:pt>
                <c:pt idx="14">
                  <c:v>65.196984235852796</c:v>
                </c:pt>
                <c:pt idx="15">
                  <c:v>65.567258015396206</c:v>
                </c:pt>
                <c:pt idx="16">
                  <c:v>65.240155388160602</c:v>
                </c:pt>
                <c:pt idx="17">
                  <c:v>65.019954607231099</c:v>
                </c:pt>
                <c:pt idx="18">
                  <c:v>66.705959035672095</c:v>
                </c:pt>
                <c:pt idx="19">
                  <c:v>66.979557725747696</c:v>
                </c:pt>
                <c:pt idx="20">
                  <c:v>67.232106283540304</c:v>
                </c:pt>
                <c:pt idx="21">
                  <c:v>58.367605238430002</c:v>
                </c:pt>
                <c:pt idx="22">
                  <c:v>63.206160280042702</c:v>
                </c:pt>
                <c:pt idx="23">
                  <c:v>65.099353141027294</c:v>
                </c:pt>
              </c:numCache>
            </c:numRef>
          </c:val>
          <c:smooth val="0"/>
          <c:extLst>
            <c:ext xmlns:c16="http://schemas.microsoft.com/office/drawing/2014/chart" uri="{C3380CC4-5D6E-409C-BE32-E72D297353CC}">
              <c16:uniqueId val="{00000002-30FF-4CFB-B000-98E4092C09CF}"/>
            </c:ext>
          </c:extLst>
        </c:ser>
        <c:ser>
          <c:idx val="0"/>
          <c:order val="3"/>
          <c:tx>
            <c:strRef>
              <c:f>Intro!$B$63</c:f>
              <c:strCache>
                <c:ptCount val="1"/>
                <c:pt idx="0">
                  <c:v>Agriculture, male</c:v>
                </c:pt>
              </c:strCache>
            </c:strRef>
          </c:tx>
          <c:spPr>
            <a:ln w="28575" cap="rnd">
              <a:solidFill>
                <a:schemeClr val="tx2"/>
              </a:solidFill>
              <a:prstDash val="dash"/>
              <a:round/>
            </a:ln>
            <a:effectLst/>
          </c:spPr>
          <c:marker>
            <c:symbol val="none"/>
          </c:marker>
          <c:cat>
            <c:numRef>
              <c:f>Intro!$C$58:$Z$58</c:f>
              <c:numCache>
                <c:formatCode>General</c:formatCode>
                <c:ptCount val="24"/>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pt idx="18">
                  <c:v>2017</c:v>
                </c:pt>
                <c:pt idx="19">
                  <c:v>2018</c:v>
                </c:pt>
                <c:pt idx="20">
                  <c:v>2019</c:v>
                </c:pt>
                <c:pt idx="21">
                  <c:v>2020</c:v>
                </c:pt>
                <c:pt idx="22">
                  <c:v>2021</c:v>
                </c:pt>
                <c:pt idx="23">
                  <c:v>2022</c:v>
                </c:pt>
              </c:numCache>
            </c:numRef>
          </c:cat>
          <c:val>
            <c:numRef>
              <c:f>Intro!$C$63:$Z$63</c:f>
              <c:numCache>
                <c:formatCode>General</c:formatCode>
                <c:ptCount val="24"/>
                <c:pt idx="0">
                  <c:v>38.773508919917802</c:v>
                </c:pt>
                <c:pt idx="1">
                  <c:v>38.5908515510502</c:v>
                </c:pt>
                <c:pt idx="2">
                  <c:v>38.592446625301697</c:v>
                </c:pt>
                <c:pt idx="3">
                  <c:v>37.808588152766802</c:v>
                </c:pt>
                <c:pt idx="4">
                  <c:v>37.007000614885499</c:v>
                </c:pt>
                <c:pt idx="5">
                  <c:v>36.204791445994097</c:v>
                </c:pt>
                <c:pt idx="6">
                  <c:v>35.025980182839703</c:v>
                </c:pt>
                <c:pt idx="7">
                  <c:v>33.8187294007665</c:v>
                </c:pt>
                <c:pt idx="8">
                  <c:v>32.451588583065202</c:v>
                </c:pt>
                <c:pt idx="9">
                  <c:v>30.9305076238483</c:v>
                </c:pt>
                <c:pt idx="10">
                  <c:v>30.643412308783201</c:v>
                </c:pt>
                <c:pt idx="11">
                  <c:v>29.564436236715501</c:v>
                </c:pt>
                <c:pt idx="12">
                  <c:v>28.7634842050015</c:v>
                </c:pt>
                <c:pt idx="13">
                  <c:v>27.618687487056601</c:v>
                </c:pt>
                <c:pt idx="14">
                  <c:v>27.290372456699298</c:v>
                </c:pt>
                <c:pt idx="15">
                  <c:v>27.7732903252742</c:v>
                </c:pt>
                <c:pt idx="16">
                  <c:v>28.439161946869401</c:v>
                </c:pt>
                <c:pt idx="17">
                  <c:v>28.4069561288774</c:v>
                </c:pt>
                <c:pt idx="18">
                  <c:v>28.097840287493099</c:v>
                </c:pt>
                <c:pt idx="19">
                  <c:v>28.175980066113301</c:v>
                </c:pt>
                <c:pt idx="20">
                  <c:v>27.047326005781098</c:v>
                </c:pt>
                <c:pt idx="21">
                  <c:v>34.512251396140201</c:v>
                </c:pt>
                <c:pt idx="22">
                  <c:v>27.682162870739301</c:v>
                </c:pt>
                <c:pt idx="23">
                  <c:v>25.8374268913031</c:v>
                </c:pt>
              </c:numCache>
            </c:numRef>
          </c:val>
          <c:smooth val="0"/>
          <c:extLst>
            <c:ext xmlns:c16="http://schemas.microsoft.com/office/drawing/2014/chart" uri="{C3380CC4-5D6E-409C-BE32-E72D297353CC}">
              <c16:uniqueId val="{00000003-30FF-4CFB-B000-98E4092C09CF}"/>
            </c:ext>
          </c:extLst>
        </c:ser>
        <c:ser>
          <c:idx val="1"/>
          <c:order val="4"/>
          <c:tx>
            <c:strRef>
              <c:f>Intro!$B$64</c:f>
              <c:strCache>
                <c:ptCount val="1"/>
                <c:pt idx="0">
                  <c:v>Industry, male</c:v>
                </c:pt>
              </c:strCache>
            </c:strRef>
          </c:tx>
          <c:spPr>
            <a:ln w="28575" cap="rnd">
              <a:solidFill>
                <a:schemeClr val="accent3"/>
              </a:solidFill>
              <a:prstDash val="dash"/>
              <a:round/>
            </a:ln>
            <a:effectLst/>
          </c:spPr>
          <c:marker>
            <c:symbol val="none"/>
          </c:marker>
          <c:cat>
            <c:numRef>
              <c:f>Intro!$C$58:$Z$58</c:f>
              <c:numCache>
                <c:formatCode>General</c:formatCode>
                <c:ptCount val="24"/>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pt idx="18">
                  <c:v>2017</c:v>
                </c:pt>
                <c:pt idx="19">
                  <c:v>2018</c:v>
                </c:pt>
                <c:pt idx="20">
                  <c:v>2019</c:v>
                </c:pt>
                <c:pt idx="21">
                  <c:v>2020</c:v>
                </c:pt>
                <c:pt idx="22">
                  <c:v>2021</c:v>
                </c:pt>
                <c:pt idx="23">
                  <c:v>2022</c:v>
                </c:pt>
              </c:numCache>
            </c:numRef>
          </c:cat>
          <c:val>
            <c:numRef>
              <c:f>Intro!$C$64:$Z$64</c:f>
              <c:numCache>
                <c:formatCode>General</c:formatCode>
                <c:ptCount val="24"/>
                <c:pt idx="0">
                  <c:v>20.676916622395499</c:v>
                </c:pt>
                <c:pt idx="1">
                  <c:v>20.329040626317301</c:v>
                </c:pt>
                <c:pt idx="2">
                  <c:v>20.4298829496142</c:v>
                </c:pt>
                <c:pt idx="3">
                  <c:v>20.572222339825299</c:v>
                </c:pt>
                <c:pt idx="4">
                  <c:v>20.722375587197401</c:v>
                </c:pt>
                <c:pt idx="5">
                  <c:v>20.821708480896501</c:v>
                </c:pt>
                <c:pt idx="6">
                  <c:v>21.128670327047001</c:v>
                </c:pt>
                <c:pt idx="7">
                  <c:v>21.3933311757926</c:v>
                </c:pt>
                <c:pt idx="8">
                  <c:v>21.8333957933629</c:v>
                </c:pt>
                <c:pt idx="9">
                  <c:v>22.3357904772758</c:v>
                </c:pt>
                <c:pt idx="10">
                  <c:v>22.350446757217401</c:v>
                </c:pt>
                <c:pt idx="11">
                  <c:v>22.773684886225901</c:v>
                </c:pt>
                <c:pt idx="12">
                  <c:v>23.026951351002701</c:v>
                </c:pt>
                <c:pt idx="13">
                  <c:v>23.914841300428201</c:v>
                </c:pt>
                <c:pt idx="14">
                  <c:v>24.1075007032168</c:v>
                </c:pt>
                <c:pt idx="15">
                  <c:v>23.722616954539799</c:v>
                </c:pt>
                <c:pt idx="16">
                  <c:v>23.999347968646699</c:v>
                </c:pt>
                <c:pt idx="17">
                  <c:v>23.213923235004501</c:v>
                </c:pt>
                <c:pt idx="18">
                  <c:v>22.390959501379498</c:v>
                </c:pt>
                <c:pt idx="19">
                  <c:v>22.270702164868201</c:v>
                </c:pt>
                <c:pt idx="20">
                  <c:v>22.580605813643501</c:v>
                </c:pt>
                <c:pt idx="21">
                  <c:v>21.319247459444899</c:v>
                </c:pt>
                <c:pt idx="22">
                  <c:v>24.0250856750305</c:v>
                </c:pt>
                <c:pt idx="23">
                  <c:v>24.397002378099302</c:v>
                </c:pt>
              </c:numCache>
            </c:numRef>
          </c:val>
          <c:smooth val="0"/>
          <c:extLst>
            <c:ext xmlns:c16="http://schemas.microsoft.com/office/drawing/2014/chart" uri="{C3380CC4-5D6E-409C-BE32-E72D297353CC}">
              <c16:uniqueId val="{00000004-30FF-4CFB-B000-98E4092C09CF}"/>
            </c:ext>
          </c:extLst>
        </c:ser>
        <c:ser>
          <c:idx val="2"/>
          <c:order val="5"/>
          <c:tx>
            <c:strRef>
              <c:f>Intro!$B$65</c:f>
              <c:strCache>
                <c:ptCount val="1"/>
                <c:pt idx="0">
                  <c:v>Service, male</c:v>
                </c:pt>
              </c:strCache>
            </c:strRef>
          </c:tx>
          <c:spPr>
            <a:ln w="28575" cap="rnd">
              <a:solidFill>
                <a:schemeClr val="accent5"/>
              </a:solidFill>
              <a:prstDash val="dash"/>
              <a:round/>
            </a:ln>
            <a:effectLst/>
          </c:spPr>
          <c:marker>
            <c:symbol val="none"/>
          </c:marker>
          <c:cat>
            <c:numRef>
              <c:f>Intro!$C$58:$Z$58</c:f>
              <c:numCache>
                <c:formatCode>General</c:formatCode>
                <c:ptCount val="24"/>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pt idx="18">
                  <c:v>2017</c:v>
                </c:pt>
                <c:pt idx="19">
                  <c:v>2018</c:v>
                </c:pt>
                <c:pt idx="20">
                  <c:v>2019</c:v>
                </c:pt>
                <c:pt idx="21">
                  <c:v>2020</c:v>
                </c:pt>
                <c:pt idx="22">
                  <c:v>2021</c:v>
                </c:pt>
                <c:pt idx="23">
                  <c:v>2022</c:v>
                </c:pt>
              </c:numCache>
            </c:numRef>
          </c:cat>
          <c:val>
            <c:numRef>
              <c:f>Intro!$C$65:$Z$65</c:f>
              <c:numCache>
                <c:formatCode>General</c:formatCode>
                <c:ptCount val="24"/>
                <c:pt idx="0">
                  <c:v>40.549574457686603</c:v>
                </c:pt>
                <c:pt idx="1">
                  <c:v>41.080107822632499</c:v>
                </c:pt>
                <c:pt idx="2">
                  <c:v>40.977685515897598</c:v>
                </c:pt>
                <c:pt idx="3">
                  <c:v>41.619189507407903</c:v>
                </c:pt>
                <c:pt idx="4">
                  <c:v>42.2705955986265</c:v>
                </c:pt>
                <c:pt idx="5">
                  <c:v>42.973486343644403</c:v>
                </c:pt>
                <c:pt idx="6">
                  <c:v>43.8453494901133</c:v>
                </c:pt>
                <c:pt idx="7">
                  <c:v>44.787939423440903</c:v>
                </c:pt>
                <c:pt idx="8">
                  <c:v>45.715015623571901</c:v>
                </c:pt>
                <c:pt idx="9">
                  <c:v>46.733713996477903</c:v>
                </c:pt>
                <c:pt idx="10">
                  <c:v>47.006152875069297</c:v>
                </c:pt>
                <c:pt idx="11">
                  <c:v>47.661878877058498</c:v>
                </c:pt>
                <c:pt idx="12">
                  <c:v>48.209552759749002</c:v>
                </c:pt>
                <c:pt idx="13">
                  <c:v>48.466448176353801</c:v>
                </c:pt>
                <c:pt idx="14">
                  <c:v>48.602126840083898</c:v>
                </c:pt>
                <c:pt idx="15">
                  <c:v>48.504092720186001</c:v>
                </c:pt>
                <c:pt idx="16">
                  <c:v>47.561501428105203</c:v>
                </c:pt>
                <c:pt idx="17">
                  <c:v>48.379120636118003</c:v>
                </c:pt>
                <c:pt idx="18">
                  <c:v>49.511189296763497</c:v>
                </c:pt>
                <c:pt idx="19">
                  <c:v>49.553328397477102</c:v>
                </c:pt>
                <c:pt idx="20">
                  <c:v>50.372068180575397</c:v>
                </c:pt>
                <c:pt idx="21">
                  <c:v>44.168501144414897</c:v>
                </c:pt>
                <c:pt idx="22">
                  <c:v>48.292751454230199</c:v>
                </c:pt>
                <c:pt idx="23">
                  <c:v>49.765570730597602</c:v>
                </c:pt>
              </c:numCache>
            </c:numRef>
          </c:val>
          <c:smooth val="0"/>
          <c:extLst>
            <c:ext xmlns:c16="http://schemas.microsoft.com/office/drawing/2014/chart" uri="{C3380CC4-5D6E-409C-BE32-E72D297353CC}">
              <c16:uniqueId val="{00000005-30FF-4CFB-B000-98E4092C09CF}"/>
            </c:ext>
          </c:extLst>
        </c:ser>
        <c:dLbls>
          <c:showLegendKey val="0"/>
          <c:showVal val="0"/>
          <c:showCatName val="0"/>
          <c:showSerName val="0"/>
          <c:showPercent val="0"/>
          <c:showBubbleSize val="0"/>
        </c:dLbls>
        <c:smooth val="0"/>
        <c:axId val="442298656"/>
        <c:axId val="442291456"/>
      </c:lineChart>
      <c:catAx>
        <c:axId val="442298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en-US"/>
          </a:p>
        </c:txPr>
        <c:crossAx val="442291456"/>
        <c:crosses val="autoZero"/>
        <c:auto val="1"/>
        <c:lblAlgn val="ctr"/>
        <c:lblOffset val="100"/>
        <c:noMultiLvlLbl val="0"/>
      </c:catAx>
      <c:valAx>
        <c:axId val="442291456"/>
        <c:scaling>
          <c:orientation val="minMax"/>
          <c:max val="80"/>
        </c:scaling>
        <c:delete val="0"/>
        <c:axPos val="l"/>
        <c:numFmt formatCode="General" sourceLinked="1"/>
        <c:majorTickMark val="none"/>
        <c:minorTickMark val="none"/>
        <c:tickLblPos val="nextTo"/>
        <c:spPr>
          <a:noFill/>
          <a:ln>
            <a:noFill/>
          </a:ln>
          <a:effectLst/>
        </c:spPr>
        <c:txPr>
          <a:bodyPr rot="-60000000" vert="horz"/>
          <a:lstStyle/>
          <a:p>
            <a:pPr>
              <a:defRPr/>
            </a:pPr>
            <a:endParaRPr lang="en-US"/>
          </a:p>
        </c:txPr>
        <c:crossAx val="442298656"/>
        <c:crosses val="autoZero"/>
        <c:crossBetween val="between"/>
      </c:valAx>
      <c:spPr>
        <a:noFill/>
        <a:ln>
          <a:noFill/>
          <a:prstDash val="dash"/>
        </a:ln>
        <a:effectLst/>
      </c:spPr>
    </c:plotArea>
    <c:legend>
      <c:legendPos val="b"/>
      <c:overlay val="0"/>
      <c:spPr>
        <a:noFill/>
        <a:ln>
          <a:noFill/>
        </a:ln>
        <a:effectLst/>
      </c:spPr>
      <c:txPr>
        <a:bodyPr rot="0" vert="horz"/>
        <a:lstStyle/>
        <a:p>
          <a:pPr>
            <a:defRPr sz="900"/>
          </a:pPr>
          <a:endParaRPr lang="en-US"/>
        </a:p>
      </c:txPr>
    </c:legend>
    <c:plotVisOnly val="1"/>
    <c:dispBlanksAs val="gap"/>
    <c:showDLblsOverMax val="0"/>
  </c:chart>
  <c:spPr>
    <a:ln>
      <a:noFill/>
    </a:ln>
  </c:spPr>
  <c:txPr>
    <a:bodyPr/>
    <a:lstStyle/>
    <a:p>
      <a:pPr>
        <a:defRPr>
          <a:latin typeface="+mj-lt"/>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'Tipología de Hogares'!$E$148</c:f>
              <c:strCache>
                <c:ptCount val="1"/>
                <c:pt idx="0">
                  <c:v>Share of households</c:v>
                </c:pt>
              </c:strCache>
            </c:strRef>
          </c:tx>
          <c:spPr>
            <a:solidFill>
              <a:srgbClr val="4472C4">
                <a:lumMod val="50000"/>
              </a:srgbClr>
            </a:solidFill>
            <a:ln>
              <a:noFill/>
            </a:ln>
            <a:effectLst/>
          </c:spPr>
          <c:invertIfNegative val="0"/>
          <c:cat>
            <c:strRef>
              <c:f>'Tipología de Hogares'!$D$149:$D$155</c:f>
              <c:strCache>
                <c:ptCount val="7"/>
                <c:pt idx="0">
                  <c:v>Single adult</c:v>
                </c:pt>
                <c:pt idx="1">
                  <c:v> Single mother</c:v>
                </c:pt>
                <c:pt idx="2">
                  <c:v>Other households without children</c:v>
                </c:pt>
                <c:pt idx="3">
                  <c:v>Elderly household</c:v>
                </c:pt>
                <c:pt idx="4">
                  <c:v>Other households with children</c:v>
                </c:pt>
                <c:pt idx="5">
                  <c:v>Extended nuclear family</c:v>
                </c:pt>
                <c:pt idx="6">
                  <c:v>Nuclear family</c:v>
                </c:pt>
              </c:strCache>
            </c:strRef>
          </c:cat>
          <c:val>
            <c:numRef>
              <c:f>'Tipología de Hogares'!$E$149:$E$155</c:f>
              <c:numCache>
                <c:formatCode>0.00</c:formatCode>
                <c:ptCount val="7"/>
                <c:pt idx="0">
                  <c:v>12.8</c:v>
                </c:pt>
                <c:pt idx="1">
                  <c:v>5.6</c:v>
                </c:pt>
                <c:pt idx="2">
                  <c:v>20.5</c:v>
                </c:pt>
                <c:pt idx="3">
                  <c:v>11</c:v>
                </c:pt>
                <c:pt idx="4">
                  <c:v>12.7</c:v>
                </c:pt>
                <c:pt idx="5">
                  <c:v>14.8</c:v>
                </c:pt>
                <c:pt idx="6">
                  <c:v>22.6</c:v>
                </c:pt>
              </c:numCache>
            </c:numRef>
          </c:val>
          <c:extLst>
            <c:ext xmlns:c16="http://schemas.microsoft.com/office/drawing/2014/chart" uri="{C3380CC4-5D6E-409C-BE32-E72D297353CC}">
              <c16:uniqueId val="{00000000-BAFA-42AB-8C40-729D0979E3FB}"/>
            </c:ext>
          </c:extLst>
        </c:ser>
        <c:dLbls>
          <c:showLegendKey val="0"/>
          <c:showVal val="0"/>
          <c:showCatName val="0"/>
          <c:showSerName val="0"/>
          <c:showPercent val="0"/>
          <c:showBubbleSize val="0"/>
        </c:dLbls>
        <c:gapWidth val="22"/>
        <c:axId val="711938607"/>
        <c:axId val="711920847"/>
      </c:barChart>
      <c:barChart>
        <c:barDir val="bar"/>
        <c:grouping val="clustered"/>
        <c:varyColors val="0"/>
        <c:ser>
          <c:idx val="1"/>
          <c:order val="1"/>
          <c:tx>
            <c:strRef>
              <c:f>'Tipología de Hogares'!$F$148</c:f>
              <c:strCache>
                <c:ptCount val="1"/>
                <c:pt idx="0">
                  <c:v>Share of poor households</c:v>
                </c:pt>
              </c:strCache>
            </c:strRef>
          </c:tx>
          <c:spPr>
            <a:solidFill>
              <a:srgbClr val="4472C4">
                <a:lumMod val="40000"/>
                <a:lumOff val="60000"/>
              </a:srgbClr>
            </a:solidFill>
            <a:ln>
              <a:noFill/>
            </a:ln>
            <a:effectLst/>
          </c:spPr>
          <c:invertIfNegative val="0"/>
          <c:cat>
            <c:strRef>
              <c:f>'Tipología de Hogares'!$D$149:$D$155</c:f>
              <c:strCache>
                <c:ptCount val="7"/>
                <c:pt idx="0">
                  <c:v>Single adult</c:v>
                </c:pt>
                <c:pt idx="1">
                  <c:v> Single mother</c:v>
                </c:pt>
                <c:pt idx="2">
                  <c:v>Other households without children</c:v>
                </c:pt>
                <c:pt idx="3">
                  <c:v>Elderly household</c:v>
                </c:pt>
                <c:pt idx="4">
                  <c:v>Other households with children</c:v>
                </c:pt>
                <c:pt idx="5">
                  <c:v>Extended nuclear family</c:v>
                </c:pt>
                <c:pt idx="6">
                  <c:v>Nuclear family</c:v>
                </c:pt>
              </c:strCache>
            </c:strRef>
          </c:cat>
          <c:val>
            <c:numRef>
              <c:f>'Tipología de Hogares'!$F$149:$F$155</c:f>
              <c:numCache>
                <c:formatCode>0.00</c:formatCode>
                <c:ptCount val="7"/>
                <c:pt idx="0">
                  <c:v>6.2</c:v>
                </c:pt>
                <c:pt idx="1">
                  <c:v>6.6</c:v>
                </c:pt>
                <c:pt idx="2">
                  <c:v>8.9</c:v>
                </c:pt>
                <c:pt idx="3">
                  <c:v>9.8000000000000007</c:v>
                </c:pt>
                <c:pt idx="4">
                  <c:v>14.1</c:v>
                </c:pt>
                <c:pt idx="5">
                  <c:v>19</c:v>
                </c:pt>
                <c:pt idx="6">
                  <c:v>35.6</c:v>
                </c:pt>
              </c:numCache>
            </c:numRef>
          </c:val>
          <c:extLst>
            <c:ext xmlns:c16="http://schemas.microsoft.com/office/drawing/2014/chart" uri="{C3380CC4-5D6E-409C-BE32-E72D297353CC}">
              <c16:uniqueId val="{00000001-BAFA-42AB-8C40-729D0979E3FB}"/>
            </c:ext>
          </c:extLst>
        </c:ser>
        <c:dLbls>
          <c:showLegendKey val="0"/>
          <c:showVal val="0"/>
          <c:showCatName val="0"/>
          <c:showSerName val="0"/>
          <c:showPercent val="0"/>
          <c:showBubbleSize val="0"/>
        </c:dLbls>
        <c:gapWidth val="200"/>
        <c:axId val="711937167"/>
        <c:axId val="711936687"/>
      </c:barChart>
      <c:catAx>
        <c:axId val="711938607"/>
        <c:scaling>
          <c:orientation val="minMax"/>
        </c:scaling>
        <c:delete val="0"/>
        <c:axPos val="l"/>
        <c:numFmt formatCode="General" sourceLinked="1"/>
        <c:majorTickMark val="none"/>
        <c:minorTickMark val="none"/>
        <c:tickLblPos val="nextTo"/>
        <c:spPr>
          <a:noFill/>
          <a:ln w="9525" cap="flat" cmpd="sng" algn="ctr">
            <a:solidFill>
              <a:schemeClr val="accent5">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711920847"/>
        <c:crosses val="autoZero"/>
        <c:auto val="1"/>
        <c:lblAlgn val="ctr"/>
        <c:lblOffset val="100"/>
        <c:noMultiLvlLbl val="0"/>
      </c:catAx>
      <c:valAx>
        <c:axId val="711920847"/>
        <c:scaling>
          <c:orientation val="minMax"/>
        </c:scaling>
        <c:delete val="0"/>
        <c:axPos val="b"/>
        <c:majorGridlines>
          <c:spPr>
            <a:ln w="3175" cap="flat" cmpd="sng" algn="ctr">
              <a:solidFill>
                <a:sysClr val="window" lastClr="FFFFFF">
                  <a:lumMod val="75000"/>
                </a:sysClr>
              </a:solidFill>
              <a:prstDash val="dash"/>
              <a:round/>
            </a:ln>
            <a:effectLst/>
          </c:spPr>
        </c:majorGridlines>
        <c:numFmt formatCode="0" sourceLinked="0"/>
        <c:majorTickMark val="out"/>
        <c:minorTickMark val="none"/>
        <c:tickLblPos val="nextTo"/>
        <c:spPr>
          <a:noFill/>
          <a:ln>
            <a:solidFill>
              <a:srgbClr val="002060"/>
            </a:solid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711938607"/>
        <c:crosses val="autoZero"/>
        <c:crossBetween val="between"/>
      </c:valAx>
      <c:valAx>
        <c:axId val="711936687"/>
        <c:scaling>
          <c:orientation val="minMax"/>
        </c:scaling>
        <c:delete val="1"/>
        <c:axPos val="t"/>
        <c:numFmt formatCode="0.00" sourceLinked="1"/>
        <c:majorTickMark val="out"/>
        <c:minorTickMark val="none"/>
        <c:tickLblPos val="nextTo"/>
        <c:crossAx val="711937167"/>
        <c:crosses val="max"/>
        <c:crossBetween val="between"/>
      </c:valAx>
      <c:catAx>
        <c:axId val="711937167"/>
        <c:scaling>
          <c:orientation val="minMax"/>
        </c:scaling>
        <c:delete val="1"/>
        <c:axPos val="l"/>
        <c:numFmt formatCode="General" sourceLinked="1"/>
        <c:majorTickMark val="out"/>
        <c:minorTickMark val="none"/>
        <c:tickLblPos val="nextTo"/>
        <c:crossAx val="711936687"/>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atin typeface="Calibri Light" panose="020F0302020204030204" pitchFamily="34" charset="0"/>
          <a:ea typeface="Calibri Light" panose="020F0302020204030204" pitchFamily="34" charset="0"/>
          <a:cs typeface="Calibri Light" panose="020F0302020204030204" pitchFamily="34" charset="0"/>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'[Tablas y Gráficos.xlsx]Tipología de Hogares'!$L$91</c:f>
              <c:strCache>
                <c:ptCount val="1"/>
                <c:pt idx="0">
                  <c:v>Share of households</c:v>
                </c:pt>
              </c:strCache>
            </c:strRef>
          </c:tx>
          <c:spPr>
            <a:solidFill>
              <a:srgbClr val="002060"/>
            </a:solidFill>
            <a:ln>
              <a:noFill/>
            </a:ln>
            <a:effectLst/>
          </c:spPr>
          <c:invertIfNegative val="0"/>
          <c:cat>
            <c:strRef>
              <c:f>'[Tablas y Gráficos.xlsx]Tipología de Hogares'!$H$92:$K$95</c:f>
              <c:strCache>
                <c:ptCount val="4"/>
                <c:pt idx="0">
                  <c:v>Households without care dependents</c:v>
                </c:pt>
                <c:pt idx="1">
                  <c:v>Other households with care dependents</c:v>
                </c:pt>
                <c:pt idx="2">
                  <c:v>Adult couple with care-dependents</c:v>
                </c:pt>
                <c:pt idx="3">
                  <c:v>Lone mother with care-dependents</c:v>
                </c:pt>
              </c:strCache>
            </c:strRef>
          </c:cat>
          <c:val>
            <c:numRef>
              <c:f>'[Tablas y Gráficos.xlsx]Tipología de Hogares'!$L$92:$L$95</c:f>
              <c:numCache>
                <c:formatCode>0.0</c:formatCode>
                <c:ptCount val="4"/>
                <c:pt idx="0">
                  <c:v>54.5</c:v>
                </c:pt>
                <c:pt idx="1">
                  <c:v>27.4</c:v>
                </c:pt>
                <c:pt idx="2">
                  <c:v>13.8</c:v>
                </c:pt>
                <c:pt idx="3">
                  <c:v>4.3</c:v>
                </c:pt>
              </c:numCache>
            </c:numRef>
          </c:val>
          <c:extLst>
            <c:ext xmlns:c16="http://schemas.microsoft.com/office/drawing/2014/chart" uri="{C3380CC4-5D6E-409C-BE32-E72D297353CC}">
              <c16:uniqueId val="{00000000-8EF9-4BD4-808E-0BB6ABFC8D77}"/>
            </c:ext>
          </c:extLst>
        </c:ser>
        <c:dLbls>
          <c:showLegendKey val="0"/>
          <c:showVal val="0"/>
          <c:showCatName val="0"/>
          <c:showSerName val="0"/>
          <c:showPercent val="0"/>
          <c:showBubbleSize val="0"/>
        </c:dLbls>
        <c:gapWidth val="22"/>
        <c:axId val="711938607"/>
        <c:axId val="711920847"/>
      </c:barChart>
      <c:barChart>
        <c:barDir val="bar"/>
        <c:grouping val="clustered"/>
        <c:varyColors val="0"/>
        <c:ser>
          <c:idx val="1"/>
          <c:order val="1"/>
          <c:tx>
            <c:strRef>
              <c:f>'[Tablas y Gráficos.xlsx]Tipología de Hogares'!$M$91</c:f>
              <c:strCache>
                <c:ptCount val="1"/>
                <c:pt idx="0">
                  <c:v>Share of poor households</c:v>
                </c:pt>
              </c:strCache>
            </c:strRef>
          </c:tx>
          <c:spPr>
            <a:solidFill>
              <a:srgbClr val="4472C4">
                <a:lumMod val="40000"/>
                <a:lumOff val="60000"/>
              </a:srgbClr>
            </a:solidFill>
            <a:ln>
              <a:noFill/>
            </a:ln>
            <a:effectLst/>
          </c:spPr>
          <c:invertIfNegative val="0"/>
          <c:cat>
            <c:strRef>
              <c:f>'[Tablas y Gráficos.xlsx]Tipología de Hogares'!$H$92:$K$95</c:f>
              <c:strCache>
                <c:ptCount val="4"/>
                <c:pt idx="0">
                  <c:v>Households without care dependents</c:v>
                </c:pt>
                <c:pt idx="1">
                  <c:v>Other households with care dependents</c:v>
                </c:pt>
                <c:pt idx="2">
                  <c:v>Adult couple with care-dependents</c:v>
                </c:pt>
                <c:pt idx="3">
                  <c:v>Lone mother with care-dependents</c:v>
                </c:pt>
              </c:strCache>
            </c:strRef>
          </c:cat>
          <c:val>
            <c:numRef>
              <c:f>'[Tablas y Gráficos.xlsx]Tipología de Hogares'!$M$92:$M$95</c:f>
              <c:numCache>
                <c:formatCode>0.0</c:formatCode>
                <c:ptCount val="4"/>
                <c:pt idx="0">
                  <c:v>37.1</c:v>
                </c:pt>
                <c:pt idx="1">
                  <c:v>32.4</c:v>
                </c:pt>
                <c:pt idx="2">
                  <c:v>25.4</c:v>
                </c:pt>
                <c:pt idx="3">
                  <c:v>5.2</c:v>
                </c:pt>
              </c:numCache>
            </c:numRef>
          </c:val>
          <c:extLst>
            <c:ext xmlns:c16="http://schemas.microsoft.com/office/drawing/2014/chart" uri="{C3380CC4-5D6E-409C-BE32-E72D297353CC}">
              <c16:uniqueId val="{00000001-8EF9-4BD4-808E-0BB6ABFC8D77}"/>
            </c:ext>
          </c:extLst>
        </c:ser>
        <c:dLbls>
          <c:showLegendKey val="0"/>
          <c:showVal val="0"/>
          <c:showCatName val="0"/>
          <c:showSerName val="0"/>
          <c:showPercent val="0"/>
          <c:showBubbleSize val="0"/>
        </c:dLbls>
        <c:gapWidth val="200"/>
        <c:axId val="711937167"/>
        <c:axId val="711936687"/>
      </c:barChart>
      <c:catAx>
        <c:axId val="711938607"/>
        <c:scaling>
          <c:orientation val="minMax"/>
        </c:scaling>
        <c:delete val="0"/>
        <c:axPos val="l"/>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711920847"/>
        <c:crosses val="autoZero"/>
        <c:auto val="1"/>
        <c:lblAlgn val="ctr"/>
        <c:lblOffset val="100"/>
        <c:noMultiLvlLbl val="0"/>
      </c:catAx>
      <c:valAx>
        <c:axId val="711920847"/>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711938607"/>
        <c:crosses val="autoZero"/>
        <c:crossBetween val="between"/>
      </c:valAx>
      <c:valAx>
        <c:axId val="711936687"/>
        <c:scaling>
          <c:orientation val="minMax"/>
        </c:scaling>
        <c:delete val="1"/>
        <c:axPos val="t"/>
        <c:numFmt formatCode="0.0" sourceLinked="1"/>
        <c:majorTickMark val="out"/>
        <c:minorTickMark val="none"/>
        <c:tickLblPos val="nextTo"/>
        <c:crossAx val="711937167"/>
        <c:crosses val="max"/>
        <c:crossBetween val="between"/>
      </c:valAx>
      <c:catAx>
        <c:axId val="711937167"/>
        <c:scaling>
          <c:orientation val="minMax"/>
        </c:scaling>
        <c:delete val="1"/>
        <c:axPos val="l"/>
        <c:numFmt formatCode="General" sourceLinked="1"/>
        <c:majorTickMark val="out"/>
        <c:minorTickMark val="none"/>
        <c:tickLblPos val="nextTo"/>
        <c:crossAx val="711936687"/>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1000">
          <a:latin typeface="Calibri Light" panose="020F0302020204030204" pitchFamily="34" charset="0"/>
          <a:ea typeface="Calibri Light" panose="020F0302020204030204" pitchFamily="34" charset="0"/>
          <a:cs typeface="Calibri Light" panose="020F0302020204030204" pitchFamily="34" charset="0"/>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1"/>
          <c:order val="1"/>
          <c:tx>
            <c:strRef>
              <c:f>'[Tablas y Gráficos.xlsx]Resultados - Clas. Agro-Urbano'!$AE$41</c:f>
              <c:strCache>
                <c:ptCount val="1"/>
                <c:pt idx="0">
                  <c:v>Share of households</c:v>
                </c:pt>
              </c:strCache>
            </c:strRef>
          </c:tx>
          <c:spPr>
            <a:solidFill>
              <a:schemeClr val="accent1">
                <a:lumMod val="50000"/>
              </a:schemeClr>
            </a:solidFill>
            <a:ln>
              <a:noFill/>
            </a:ln>
            <a:effectLst/>
          </c:spPr>
          <c:invertIfNegative val="0"/>
          <c:cat>
            <c:strRef>
              <c:f>'[Tablas y Gráficos.xlsx]Resultados - Clas. Agro-Urbano'!$AC$42:$AC$43</c:f>
              <c:strCache>
                <c:ptCount val="2"/>
                <c:pt idx="0">
                  <c:v>Agricultural households</c:v>
                </c:pt>
                <c:pt idx="1">
                  <c:v>Non-agricultural households</c:v>
                </c:pt>
              </c:strCache>
            </c:strRef>
          </c:cat>
          <c:val>
            <c:numRef>
              <c:f>'[Tablas y Gráficos.xlsx]Resultados - Clas. Agro-Urbano'!$AE$42:$AE$43</c:f>
              <c:numCache>
                <c:formatCode>General</c:formatCode>
                <c:ptCount val="2"/>
                <c:pt idx="0">
                  <c:v>24.376702308654785</c:v>
                </c:pt>
                <c:pt idx="1">
                  <c:v>75.623297691345215</c:v>
                </c:pt>
              </c:numCache>
            </c:numRef>
          </c:val>
          <c:extLst>
            <c:ext xmlns:c16="http://schemas.microsoft.com/office/drawing/2014/chart" uri="{C3380CC4-5D6E-409C-BE32-E72D297353CC}">
              <c16:uniqueId val="{00000000-520E-433E-9403-07577999C3B2}"/>
            </c:ext>
          </c:extLst>
        </c:ser>
        <c:dLbls>
          <c:showLegendKey val="0"/>
          <c:showVal val="0"/>
          <c:showCatName val="0"/>
          <c:showSerName val="0"/>
          <c:showPercent val="0"/>
          <c:showBubbleSize val="0"/>
        </c:dLbls>
        <c:gapWidth val="22"/>
        <c:axId val="654676367"/>
        <c:axId val="654676847"/>
      </c:barChart>
      <c:barChart>
        <c:barDir val="bar"/>
        <c:grouping val="clustered"/>
        <c:varyColors val="0"/>
        <c:ser>
          <c:idx val="0"/>
          <c:order val="0"/>
          <c:tx>
            <c:strRef>
              <c:f>'[Tablas y Gráficos.xlsx]Resultados - Clas. Agro-Urbano'!$AD$41</c:f>
              <c:strCache>
                <c:ptCount val="1"/>
                <c:pt idx="0">
                  <c:v>Share of Poor Households</c:v>
                </c:pt>
              </c:strCache>
            </c:strRef>
          </c:tx>
          <c:spPr>
            <a:solidFill>
              <a:schemeClr val="accent1">
                <a:lumMod val="40000"/>
                <a:lumOff val="60000"/>
              </a:schemeClr>
            </a:solidFill>
            <a:ln>
              <a:noFill/>
            </a:ln>
            <a:effectLst/>
          </c:spPr>
          <c:invertIfNegative val="0"/>
          <c:cat>
            <c:strRef>
              <c:f>'[Tablas y Gráficos.xlsx]Resultados - Clas. Agro-Urbano'!$AC$42:$AC$43</c:f>
              <c:strCache>
                <c:ptCount val="2"/>
                <c:pt idx="0">
                  <c:v>Agricultural households</c:v>
                </c:pt>
                <c:pt idx="1">
                  <c:v>Non-agricultural households</c:v>
                </c:pt>
              </c:strCache>
            </c:strRef>
          </c:cat>
          <c:val>
            <c:numRef>
              <c:f>'[Tablas y Gráficos.xlsx]Resultados - Clas. Agro-Urbano'!$AD$42:$AD$43</c:f>
              <c:numCache>
                <c:formatCode>General</c:formatCode>
                <c:ptCount val="2"/>
                <c:pt idx="0">
                  <c:v>51.569044589996338</c:v>
                </c:pt>
                <c:pt idx="1">
                  <c:v>48.430955410003662</c:v>
                </c:pt>
              </c:numCache>
            </c:numRef>
          </c:val>
          <c:extLst>
            <c:ext xmlns:c16="http://schemas.microsoft.com/office/drawing/2014/chart" uri="{C3380CC4-5D6E-409C-BE32-E72D297353CC}">
              <c16:uniqueId val="{00000001-520E-433E-9403-07577999C3B2}"/>
            </c:ext>
          </c:extLst>
        </c:ser>
        <c:dLbls>
          <c:showLegendKey val="0"/>
          <c:showVal val="0"/>
          <c:showCatName val="0"/>
          <c:showSerName val="0"/>
          <c:showPercent val="0"/>
          <c:showBubbleSize val="0"/>
        </c:dLbls>
        <c:gapWidth val="200"/>
        <c:axId val="706872367"/>
        <c:axId val="706876687"/>
      </c:barChart>
      <c:catAx>
        <c:axId val="65467636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654676847"/>
        <c:crosses val="autoZero"/>
        <c:auto val="1"/>
        <c:lblAlgn val="ctr"/>
        <c:lblOffset val="100"/>
        <c:noMultiLvlLbl val="0"/>
      </c:catAx>
      <c:valAx>
        <c:axId val="654676847"/>
        <c:scaling>
          <c:orientation val="minMax"/>
        </c:scaling>
        <c:delete val="0"/>
        <c:axPos val="b"/>
        <c:majorGridlines>
          <c:spPr>
            <a:ln w="3175" cap="flat" cmpd="sng" algn="ctr">
              <a:solidFill>
                <a:schemeClr val="bg1">
                  <a:lumMod val="75000"/>
                </a:schemeClr>
              </a:solidFill>
              <a:prstDash val="dash"/>
              <a:round/>
            </a:ln>
            <a:effectLst/>
          </c:spPr>
        </c:majorGridlines>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654676367"/>
        <c:crosses val="autoZero"/>
        <c:crossBetween val="between"/>
      </c:valAx>
      <c:valAx>
        <c:axId val="706876687"/>
        <c:scaling>
          <c:orientation val="minMax"/>
        </c:scaling>
        <c:delete val="1"/>
        <c:axPos val="t"/>
        <c:numFmt formatCode="General" sourceLinked="1"/>
        <c:majorTickMark val="out"/>
        <c:minorTickMark val="none"/>
        <c:tickLblPos val="nextTo"/>
        <c:crossAx val="706872367"/>
        <c:crosses val="max"/>
        <c:crossBetween val="between"/>
      </c:valAx>
      <c:catAx>
        <c:axId val="706872367"/>
        <c:scaling>
          <c:orientation val="minMax"/>
        </c:scaling>
        <c:delete val="1"/>
        <c:axPos val="l"/>
        <c:numFmt formatCode="General" sourceLinked="1"/>
        <c:majorTickMark val="out"/>
        <c:minorTickMark val="none"/>
        <c:tickLblPos val="nextTo"/>
        <c:crossAx val="706876687"/>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1000">
          <a:latin typeface="+mn-lt"/>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tx>
            <c:strRef>
              <c:f>'[Tablas y Gráficos.xlsx]Resultados - Clas. Agro-Urbano'!$AD$50</c:f>
              <c:strCache>
                <c:ptCount val="1"/>
                <c:pt idx="0">
                  <c:v>Agricultural Household</c:v>
                </c:pt>
              </c:strCache>
            </c:strRef>
          </c:tx>
          <c:spPr>
            <a:solidFill>
              <a:schemeClr val="accent3">
                <a:lumMod val="50000"/>
              </a:schemeClr>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Agro-Urbano'!$AC$51:$AC$52</c:f>
              <c:strCache>
                <c:ptCount val="2"/>
                <c:pt idx="0">
                  <c:v>Rural Household</c:v>
                </c:pt>
                <c:pt idx="1">
                  <c:v>Urban Household</c:v>
                </c:pt>
              </c:strCache>
            </c:strRef>
          </c:cat>
          <c:val>
            <c:numRef>
              <c:f>'[Tablas y Gráficos.xlsx]Resultados - Clas. Agro-Urbano'!$AD$51:$AD$52</c:f>
              <c:numCache>
                <c:formatCode>General</c:formatCode>
                <c:ptCount val="2"/>
                <c:pt idx="0">
                  <c:v>76.5</c:v>
                </c:pt>
                <c:pt idx="1">
                  <c:v>9.16</c:v>
                </c:pt>
              </c:numCache>
            </c:numRef>
          </c:val>
          <c:extLst>
            <c:ext xmlns:c16="http://schemas.microsoft.com/office/drawing/2014/chart" uri="{C3380CC4-5D6E-409C-BE32-E72D297353CC}">
              <c16:uniqueId val="{00000000-139C-4CEB-9307-A72CDC4033B5}"/>
            </c:ext>
          </c:extLst>
        </c:ser>
        <c:ser>
          <c:idx val="1"/>
          <c:order val="1"/>
          <c:tx>
            <c:strRef>
              <c:f>'[Tablas y Gráficos.xlsx]Resultados - Clas. Agro-Urbano'!$AE$50</c:f>
              <c:strCache>
                <c:ptCount val="1"/>
                <c:pt idx="0">
                  <c:v>Non-agricultural household</c:v>
                </c:pt>
              </c:strCache>
            </c:strRef>
          </c:tx>
          <c:spPr>
            <a:solidFill>
              <a:schemeClr val="accent3">
                <a:lumMod val="20000"/>
                <a:lumOff val="80000"/>
              </a:schemeClr>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Gráficos.xlsx]Resultados - Clas. Agro-Urbano'!$AC$51:$AC$52</c:f>
              <c:strCache>
                <c:ptCount val="2"/>
                <c:pt idx="0">
                  <c:v>Rural Household</c:v>
                </c:pt>
                <c:pt idx="1">
                  <c:v>Urban Household</c:v>
                </c:pt>
              </c:strCache>
            </c:strRef>
          </c:cat>
          <c:val>
            <c:numRef>
              <c:f>'[Tablas y Gráficos.xlsx]Resultados - Clas. Agro-Urbano'!$AE$51:$AE$52</c:f>
              <c:numCache>
                <c:formatCode>General</c:formatCode>
                <c:ptCount val="2"/>
                <c:pt idx="0">
                  <c:v>23.5</c:v>
                </c:pt>
                <c:pt idx="1">
                  <c:v>90.84</c:v>
                </c:pt>
              </c:numCache>
            </c:numRef>
          </c:val>
          <c:extLst>
            <c:ext xmlns:c16="http://schemas.microsoft.com/office/drawing/2014/chart" uri="{C3380CC4-5D6E-409C-BE32-E72D297353CC}">
              <c16:uniqueId val="{00000001-139C-4CEB-9307-A72CDC4033B5}"/>
            </c:ext>
          </c:extLst>
        </c:ser>
        <c:dLbls>
          <c:showLegendKey val="0"/>
          <c:showVal val="0"/>
          <c:showCatName val="0"/>
          <c:showSerName val="0"/>
          <c:showPercent val="0"/>
          <c:showBubbleSize val="0"/>
        </c:dLbls>
        <c:gapWidth val="75"/>
        <c:overlap val="100"/>
        <c:axId val="889854895"/>
        <c:axId val="889864015"/>
      </c:barChart>
      <c:catAx>
        <c:axId val="88985489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89864015"/>
        <c:crosses val="autoZero"/>
        <c:auto val="1"/>
        <c:lblAlgn val="ctr"/>
        <c:lblOffset val="100"/>
        <c:noMultiLvlLbl val="0"/>
      </c:catAx>
      <c:valAx>
        <c:axId val="889864015"/>
        <c:scaling>
          <c:orientation val="minMax"/>
          <c:max val="100"/>
        </c:scaling>
        <c:delete val="1"/>
        <c:axPos val="b"/>
        <c:numFmt formatCode="General" sourceLinked="1"/>
        <c:majorTickMark val="out"/>
        <c:minorTickMark val="none"/>
        <c:tickLblPos val="nextTo"/>
        <c:crossAx val="8898548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1000"/>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1.085972850678733E-2"/>
          <c:y val="0.12315251323921589"/>
          <c:w val="0.96835229985392102"/>
          <c:h val="0.74519533372935143"/>
        </c:manualLayout>
      </c:layout>
      <c:barChart>
        <c:barDir val="col"/>
        <c:grouping val="clustered"/>
        <c:varyColors val="0"/>
        <c:ser>
          <c:idx val="0"/>
          <c:order val="0"/>
          <c:spPr>
            <a:solidFill>
              <a:srgbClr val="C00000"/>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Gráficos.xlsx]CEQ 2019 - Resultados'!$B$3:$B$7</c:f>
              <c:strCache>
                <c:ptCount val="5"/>
                <c:pt idx="0">
                  <c:v>Market Income</c:v>
                </c:pt>
                <c:pt idx="1">
                  <c:v>Net Market Income</c:v>
                </c:pt>
                <c:pt idx="2">
                  <c:v>Disposable Income</c:v>
                </c:pt>
                <c:pt idx="3">
                  <c:v>Consumable Income</c:v>
                </c:pt>
                <c:pt idx="4">
                  <c:v>Final Income</c:v>
                </c:pt>
              </c:strCache>
            </c:strRef>
          </c:cat>
          <c:val>
            <c:numRef>
              <c:f>'[Tablas y Gráficos.xlsx]CEQ 2019 - Resultados'!$C$3:$C$7</c:f>
              <c:numCache>
                <c:formatCode>0.00%</c:formatCode>
                <c:ptCount val="5"/>
                <c:pt idx="0">
                  <c:v>0.21536138226843332</c:v>
                </c:pt>
                <c:pt idx="1">
                  <c:v>0.21578054672620339</c:v>
                </c:pt>
                <c:pt idx="2">
                  <c:v>0.19273045122878768</c:v>
                </c:pt>
                <c:pt idx="3">
                  <c:v>0.22926517261944437</c:v>
                </c:pt>
                <c:pt idx="4">
                  <c:v>0.11070240651510883</c:v>
                </c:pt>
              </c:numCache>
            </c:numRef>
          </c:val>
          <c:extLst>
            <c:ext xmlns:c16="http://schemas.microsoft.com/office/drawing/2014/chart" uri="{C3380CC4-5D6E-409C-BE32-E72D297353CC}">
              <c16:uniqueId val="{00000000-0DEC-48FE-B244-E6C1D1B510F2}"/>
            </c:ext>
          </c:extLst>
        </c:ser>
        <c:dLbls>
          <c:showLegendKey val="0"/>
          <c:showVal val="0"/>
          <c:showCatName val="0"/>
          <c:showSerName val="0"/>
          <c:showPercent val="0"/>
          <c:showBubbleSize val="0"/>
        </c:dLbls>
        <c:gapWidth val="219"/>
        <c:overlap val="-27"/>
        <c:axId val="1724261472"/>
        <c:axId val="1724261888"/>
      </c:barChart>
      <c:catAx>
        <c:axId val="1724261472"/>
        <c:scaling>
          <c:orientation val="minMax"/>
        </c:scaling>
        <c:delete val="0"/>
        <c:axPos val="b"/>
        <c:numFmt formatCode="General" sourceLinked="1"/>
        <c:majorTickMark val="out"/>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724261888"/>
        <c:crosses val="autoZero"/>
        <c:auto val="1"/>
        <c:lblAlgn val="ctr"/>
        <c:lblOffset val="100"/>
        <c:noMultiLvlLbl val="0"/>
      </c:catAx>
      <c:valAx>
        <c:axId val="1724261888"/>
        <c:scaling>
          <c:orientation val="minMax"/>
        </c:scaling>
        <c:delete val="1"/>
        <c:axPos val="l"/>
        <c:numFmt formatCode="0.00%" sourceLinked="1"/>
        <c:majorTickMark val="none"/>
        <c:minorTickMark val="none"/>
        <c:tickLblPos val="nextTo"/>
        <c:crossAx val="172426147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userShapes r:id="rId5"/>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3.9978193712520441E-2"/>
          <c:y val="0.15027942869770528"/>
          <c:w val="0.95638742504088681"/>
          <c:h val="0.65361640967184376"/>
        </c:manualLayout>
      </c:layout>
      <c:lineChart>
        <c:grouping val="standard"/>
        <c:varyColors val="0"/>
        <c:ser>
          <c:idx val="0"/>
          <c:order val="0"/>
          <c:spPr>
            <a:ln w="28575" cap="rnd">
              <a:solidFill>
                <a:srgbClr val="0070C0"/>
              </a:solidFill>
              <a:round/>
            </a:ln>
            <a:effectLst/>
          </c:spPr>
          <c:marker>
            <c:symbol val="square"/>
            <c:size val="6"/>
            <c:spPr>
              <a:solidFill>
                <a:srgbClr val="0070C0"/>
              </a:solidFill>
              <a:ln w="9525">
                <a:noFill/>
              </a:ln>
              <a:effectLst/>
            </c:spPr>
          </c:marker>
          <c:dLbls>
            <c:dLbl>
              <c:idx val="0"/>
              <c:layout>
                <c:manualLayout>
                  <c:x val="-5.8333333333333348E-2"/>
                  <c:y val="-6.01851851851851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BE8-4FB1-8EC9-BEFBDADF8828}"/>
                </c:ext>
              </c:extLst>
            </c:dLbl>
            <c:dLbl>
              <c:idx val="1"/>
              <c:layout>
                <c:manualLayout>
                  <c:x val="-5.2777777777777778E-2"/>
                  <c:y val="-6.0185185185185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BE8-4FB1-8EC9-BEFBDADF8828}"/>
                </c:ext>
              </c:extLst>
            </c:dLbl>
            <c:dLbl>
              <c:idx val="2"/>
              <c:layout>
                <c:manualLayout>
                  <c:x val="-3.6111111111111108E-2"/>
                  <c:y val="-5.09259259259259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BE8-4FB1-8EC9-BEFBDADF8828}"/>
                </c:ext>
              </c:extLst>
            </c:dLbl>
            <c:dLbl>
              <c:idx val="3"/>
              <c:layout>
                <c:manualLayout>
                  <c:x val="-0.05"/>
                  <c:y val="-5.55555555555555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BE8-4FB1-8EC9-BEFBDADF8828}"/>
                </c:ext>
              </c:extLst>
            </c:dLbl>
            <c:dLbl>
              <c:idx val="4"/>
              <c:layout>
                <c:manualLayout>
                  <c:x val="-4.1666666666666768E-2"/>
                  <c:y val="4.6296296296296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BE8-4FB1-8EC9-BEFBDADF8828}"/>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'[Tablas y Gráficos.xlsx]CEQ 2019 - Resultados'!$B$3:$B$7</c:f>
              <c:strCache>
                <c:ptCount val="5"/>
                <c:pt idx="0">
                  <c:v>Market Income</c:v>
                </c:pt>
                <c:pt idx="1">
                  <c:v>Net Market Income</c:v>
                </c:pt>
                <c:pt idx="2">
                  <c:v>Disposable Income</c:v>
                </c:pt>
                <c:pt idx="3">
                  <c:v>Consumable Income</c:v>
                </c:pt>
                <c:pt idx="4">
                  <c:v>Final Income</c:v>
                </c:pt>
              </c:strCache>
            </c:strRef>
          </c:cat>
          <c:val>
            <c:numRef>
              <c:f>'[Tablas y Gráficos.xlsx]CEQ 2019 - Resultados'!$D$3:$D$7</c:f>
              <c:numCache>
                <c:formatCode>0.00</c:formatCode>
                <c:ptCount val="5"/>
                <c:pt idx="0">
                  <c:v>43.827670000000005</c:v>
                </c:pt>
                <c:pt idx="1">
                  <c:v>43.276470000000003</c:v>
                </c:pt>
                <c:pt idx="2">
                  <c:v>42.284790000000001</c:v>
                </c:pt>
                <c:pt idx="3">
                  <c:v>42.584129999999995</c:v>
                </c:pt>
                <c:pt idx="4">
                  <c:v>37.944389999999999</c:v>
                </c:pt>
              </c:numCache>
            </c:numRef>
          </c:val>
          <c:smooth val="0"/>
          <c:extLst>
            <c:ext xmlns:c16="http://schemas.microsoft.com/office/drawing/2014/chart" uri="{C3380CC4-5D6E-409C-BE32-E72D297353CC}">
              <c16:uniqueId val="{00000005-7BE8-4FB1-8EC9-BEFBDADF8828}"/>
            </c:ext>
          </c:extLst>
        </c:ser>
        <c:dLbls>
          <c:showLegendKey val="0"/>
          <c:showVal val="0"/>
          <c:showCatName val="0"/>
          <c:showSerName val="0"/>
          <c:showPercent val="0"/>
          <c:showBubbleSize val="0"/>
        </c:dLbls>
        <c:marker val="1"/>
        <c:smooth val="0"/>
        <c:axId val="1724261472"/>
        <c:axId val="1724261888"/>
      </c:lineChart>
      <c:catAx>
        <c:axId val="1724261472"/>
        <c:scaling>
          <c:orientation val="minMax"/>
        </c:scaling>
        <c:delete val="0"/>
        <c:axPos val="b"/>
        <c:numFmt formatCode="General" sourceLinked="1"/>
        <c:majorTickMark val="out"/>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724261888"/>
        <c:crosses val="autoZero"/>
        <c:auto val="1"/>
        <c:lblAlgn val="ctr"/>
        <c:lblOffset val="100"/>
        <c:noMultiLvlLbl val="0"/>
      </c:catAx>
      <c:valAx>
        <c:axId val="1724261888"/>
        <c:scaling>
          <c:orientation val="minMax"/>
        </c:scaling>
        <c:delete val="1"/>
        <c:axPos val="l"/>
        <c:numFmt formatCode="0.00" sourceLinked="1"/>
        <c:majorTickMark val="none"/>
        <c:minorTickMark val="none"/>
        <c:tickLblPos val="nextTo"/>
        <c:crossAx val="172426147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withinLinear" id="14">
  <a:schemeClr val="accent1"/>
</cs:colorStyle>
</file>

<file path=word/charts/colors11.xml><?xml version="1.0" encoding="utf-8"?>
<cs:colorStyle xmlns:cs="http://schemas.microsoft.com/office/drawing/2012/chartStyle" xmlns:a="http://schemas.openxmlformats.org/drawingml/2006/main" meth="withinLinear" id="14">
  <a:schemeClr val="accent1"/>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4">
  <a:schemeClr val="accent1"/>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0.09532</cdr:x>
      <cdr:y>0</cdr:y>
    </cdr:from>
    <cdr:to>
      <cdr:x>0.97995</cdr:x>
      <cdr:y>0.20494</cdr:y>
    </cdr:to>
    <cdr:grpSp>
      <cdr:nvGrpSpPr>
        <cdr:cNvPr id="4" name="Group 3"/>
        <cdr:cNvGrpSpPr/>
      </cdr:nvGrpSpPr>
      <cdr:grpSpPr>
        <a:xfrm xmlns:a="http://schemas.openxmlformats.org/drawingml/2006/main">
          <a:off x="263237" y="0"/>
          <a:ext cx="2443008" cy="387938"/>
          <a:chOff x="263237" y="0"/>
          <a:chExt cx="2443008" cy="387938"/>
        </a:xfrm>
      </cdr:grpSpPr>
      <cdr:sp macro="" textlink="">
        <cdr:nvSpPr>
          <cdr:cNvPr id="2" name="TextBox 4">
            <a:extLst xmlns:a="http://schemas.openxmlformats.org/drawingml/2006/main">
              <a:ext uri="{FF2B5EF4-FFF2-40B4-BE49-F238E27FC236}">
                <a16:creationId xmlns:a16="http://schemas.microsoft.com/office/drawing/2014/main" id="{DF1B5AE8-06CB-4F3B-86DE-1845BE7AA9A7}"/>
              </a:ext>
            </a:extLst>
          </cdr:cNvPr>
          <cdr:cNvSpPr txBox="1"/>
        </cdr:nvSpPr>
        <cdr:spPr>
          <a:xfrm xmlns:a="http://schemas.openxmlformats.org/drawingml/2006/main">
            <a:off x="263237" y="13856"/>
            <a:ext cx="1020610" cy="374082"/>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square" rtlCol="0" anchor="t">
            <a:no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pPr algn="ctr"/>
            <a:r>
              <a:rPr lang="en-US" sz="900">
                <a:solidFill>
                  <a:srgbClr val="C00000"/>
                </a:solidFill>
                <a:latin typeface="+mj-lt"/>
              </a:rPr>
              <a:t>Gap: 17.6</a:t>
            </a:r>
            <a:r>
              <a:rPr lang="en-US" sz="900" baseline="0">
                <a:solidFill>
                  <a:srgbClr val="C00000"/>
                </a:solidFill>
                <a:latin typeface="+mj-lt"/>
              </a:rPr>
              <a:t> p.p.</a:t>
            </a:r>
            <a:endParaRPr lang="en-US" sz="900">
              <a:solidFill>
                <a:srgbClr val="C00000"/>
              </a:solidFill>
              <a:latin typeface="+mj-lt"/>
            </a:endParaRPr>
          </a:p>
        </cdr:txBody>
      </cdr:sp>
      <cdr:sp macro="" textlink="">
        <cdr:nvSpPr>
          <cdr:cNvPr id="3" name="TextBox 3">
            <a:extLst xmlns:a="http://schemas.openxmlformats.org/drawingml/2006/main">
              <a:ext uri="{FF2B5EF4-FFF2-40B4-BE49-F238E27FC236}">
                <a16:creationId xmlns:a16="http://schemas.microsoft.com/office/drawing/2014/main" id="{DE7BEDCF-2231-1ACD-2CB0-FAA3ED2F2AAE}"/>
              </a:ext>
            </a:extLst>
          </cdr:cNvPr>
          <cdr:cNvSpPr txBox="1"/>
        </cdr:nvSpPr>
        <cdr:spPr>
          <a:xfrm xmlns:a="http://schemas.openxmlformats.org/drawingml/2006/main">
            <a:off x="1759535" y="0"/>
            <a:ext cx="946710" cy="374082"/>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square" rtlCol="0" anchor="t">
            <a:no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pPr algn="ctr"/>
            <a:r>
              <a:rPr lang="en-US" sz="900">
                <a:solidFill>
                  <a:srgbClr val="C00000"/>
                </a:solidFill>
                <a:latin typeface="+mj-lt"/>
              </a:rPr>
              <a:t>Gap: 15.4</a:t>
            </a:r>
            <a:r>
              <a:rPr lang="en-US" sz="900" baseline="0">
                <a:solidFill>
                  <a:srgbClr val="C00000"/>
                </a:solidFill>
                <a:latin typeface="+mj-lt"/>
              </a:rPr>
              <a:t> p.p.</a:t>
            </a:r>
            <a:endParaRPr lang="en-US" sz="900">
              <a:solidFill>
                <a:srgbClr val="C00000"/>
              </a:solidFill>
              <a:latin typeface="+mj-lt"/>
            </a:endParaRPr>
          </a:p>
        </cdr:txBody>
      </cdr:sp>
    </cdr:grpSp>
  </cdr:relSizeAnchor>
</c:userShapes>
</file>

<file path=word/drawings/drawing2.xml><?xml version="1.0" encoding="utf-8"?>
<c:userShapes xmlns:c="http://schemas.openxmlformats.org/drawingml/2006/chart">
  <cdr:relSizeAnchor xmlns:cdr="http://schemas.openxmlformats.org/drawingml/2006/chartDrawing">
    <cdr:from>
      <cdr:x>0.22195</cdr:x>
      <cdr:y>0.02985</cdr:y>
    </cdr:from>
    <cdr:to>
      <cdr:x>0.43828</cdr:x>
      <cdr:y>0.16196</cdr:y>
    </cdr:to>
    <cdr:sp macro="" textlink="">
      <cdr:nvSpPr>
        <cdr:cNvPr id="3" name="Text Box 2"/>
        <cdr:cNvSpPr txBox="1">
          <a:spLocks xmlns:a="http://schemas.openxmlformats.org/drawingml/2006/main" noChangeArrowheads="1"/>
        </cdr:cNvSpPr>
      </cdr:nvSpPr>
      <cdr:spPr bwMode="auto">
        <a:xfrm xmlns:a="http://schemas.openxmlformats.org/drawingml/2006/main">
          <a:off x="676797" y="94478"/>
          <a:ext cx="659649" cy="4181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p xmlns:a="http://schemas.openxmlformats.org/drawingml/2006/main">
          <a:pPr marL="0" marR="0">
            <a:lnSpc>
              <a:spcPct val="107000"/>
            </a:lnSpc>
            <a:spcBef>
              <a:spcPts val="0"/>
            </a:spcBef>
            <a:spcAft>
              <a:spcPts val="800"/>
            </a:spcAft>
          </a:pPr>
          <a:r>
            <a:rPr lang="en-US" sz="800" kern="100">
              <a:solidFill>
                <a:srgbClr val="C00000"/>
              </a:solidFill>
              <a:effectLst/>
              <a:latin typeface="Calibri Light" panose="020F0302020204030204" pitchFamily="34" charset="0"/>
              <a:ea typeface="Calibri Light" panose="020F0302020204030204" pitchFamily="34" charset="0"/>
              <a:cs typeface="Calibri Light" panose="020F0302020204030204" pitchFamily="34" charset="0"/>
            </a:rPr>
            <a:t>(-) Direct Taxes</a:t>
          </a:r>
        </a:p>
      </cdr:txBody>
    </cdr:sp>
  </cdr:relSizeAnchor>
  <cdr:relSizeAnchor xmlns:cdr="http://schemas.openxmlformats.org/drawingml/2006/chartDrawing">
    <cdr:from>
      <cdr:x>0.40009</cdr:x>
      <cdr:y>0.10485</cdr:y>
    </cdr:from>
    <cdr:to>
      <cdr:x>0.65972</cdr:x>
      <cdr:y>0.24027</cdr:y>
    </cdr:to>
    <cdr:sp macro="" textlink="">
      <cdr:nvSpPr>
        <cdr:cNvPr id="4" name="Text Box 1"/>
        <cdr:cNvSpPr txBox="1">
          <a:spLocks xmlns:a="http://schemas.openxmlformats.org/drawingml/2006/main" noChangeArrowheads="1"/>
        </cdr:cNvSpPr>
      </cdr:nvSpPr>
      <cdr:spPr bwMode="auto">
        <a:xfrm xmlns:a="http://schemas.openxmlformats.org/drawingml/2006/main">
          <a:off x="1219984" y="331833"/>
          <a:ext cx="791682" cy="42858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a:lnSpc>
              <a:spcPct val="107000"/>
            </a:lnSpc>
            <a:spcBef>
              <a:spcPts val="0"/>
            </a:spcBef>
            <a:spcAft>
              <a:spcPts val="800"/>
            </a:spcAft>
          </a:pPr>
          <a:r>
            <a:rPr lang="en-US" sz="800" kern="100">
              <a:solidFill>
                <a:srgbClr val="0070C0"/>
              </a:solidFill>
              <a:effectLst/>
              <a:latin typeface="Calibri Light" panose="020F0302020204030204" pitchFamily="34" charset="0"/>
              <a:ea typeface="Calibri Light" panose="020F0302020204030204" pitchFamily="34" charset="0"/>
              <a:cs typeface="Calibri Light" panose="020F0302020204030204" pitchFamily="34" charset="0"/>
            </a:rPr>
            <a:t>(+) Direct Transfers</a:t>
          </a:r>
        </a:p>
      </cdr:txBody>
    </cdr:sp>
  </cdr:relSizeAnchor>
  <cdr:relSizeAnchor xmlns:cdr="http://schemas.openxmlformats.org/drawingml/2006/chartDrawing">
    <cdr:from>
      <cdr:x>0.60359</cdr:x>
      <cdr:y>0</cdr:y>
    </cdr:from>
    <cdr:to>
      <cdr:x>0.86323</cdr:x>
      <cdr:y>0.11779</cdr:y>
    </cdr:to>
    <cdr:sp macro="" textlink="">
      <cdr:nvSpPr>
        <cdr:cNvPr id="5" name="Text Box 1"/>
        <cdr:cNvSpPr txBox="1">
          <a:spLocks xmlns:a="http://schemas.openxmlformats.org/drawingml/2006/main" noChangeArrowheads="1"/>
        </cdr:cNvSpPr>
      </cdr:nvSpPr>
      <cdr:spPr bwMode="auto">
        <a:xfrm xmlns:a="http://schemas.openxmlformats.org/drawingml/2006/main">
          <a:off x="1840509" y="-3910818"/>
          <a:ext cx="791712" cy="372794"/>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a:lnSpc>
              <a:spcPct val="107000"/>
            </a:lnSpc>
            <a:spcBef>
              <a:spcPts val="0"/>
            </a:spcBef>
            <a:spcAft>
              <a:spcPts val="800"/>
            </a:spcAft>
          </a:pPr>
          <a:r>
            <a:rPr lang="en-US" sz="800" kern="100">
              <a:solidFill>
                <a:srgbClr val="C00000"/>
              </a:solidFill>
              <a:effectLst/>
              <a:latin typeface="Calibri Light" panose="020F0302020204030204" pitchFamily="34" charset="0"/>
              <a:ea typeface="Calibri Light" panose="020F0302020204030204" pitchFamily="34" charset="0"/>
              <a:cs typeface="Calibri Light" panose="020F0302020204030204" pitchFamily="34" charset="0"/>
            </a:rPr>
            <a:t>(-) Indirect Taxes</a:t>
          </a:r>
        </a:p>
      </cdr:txBody>
    </cdr:sp>
  </cdr:relSizeAnchor>
  <cdr:relSizeAnchor xmlns:cdr="http://schemas.openxmlformats.org/drawingml/2006/chartDrawing">
    <cdr:from>
      <cdr:x>0.76353</cdr:x>
      <cdr:y>0.34033</cdr:y>
    </cdr:from>
    <cdr:to>
      <cdr:x>1</cdr:x>
      <cdr:y>0.47575</cdr:y>
    </cdr:to>
    <cdr:sp macro="" textlink="">
      <cdr:nvSpPr>
        <cdr:cNvPr id="6" name="Text Box 1"/>
        <cdr:cNvSpPr txBox="1">
          <a:spLocks xmlns:a="http://schemas.openxmlformats.org/drawingml/2006/main" noChangeArrowheads="1"/>
        </cdr:cNvSpPr>
      </cdr:nvSpPr>
      <cdr:spPr bwMode="auto">
        <a:xfrm xmlns:a="http://schemas.openxmlformats.org/drawingml/2006/main">
          <a:off x="2328209" y="1077082"/>
          <a:ext cx="721061" cy="428582"/>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a:lnSpc>
              <a:spcPct val="107000"/>
            </a:lnSpc>
            <a:spcBef>
              <a:spcPts val="0"/>
            </a:spcBef>
            <a:spcAft>
              <a:spcPts val="800"/>
            </a:spcAft>
          </a:pPr>
          <a:r>
            <a:rPr lang="en-US" sz="800" kern="100">
              <a:solidFill>
                <a:srgbClr val="0070C0"/>
              </a:solidFill>
              <a:effectLst/>
              <a:latin typeface="Calibri Light" panose="020F0302020204030204" pitchFamily="34" charset="0"/>
              <a:ea typeface="Calibri Light" panose="020F0302020204030204" pitchFamily="34" charset="0"/>
              <a:cs typeface="Calibri Light" panose="020F0302020204030204" pitchFamily="34" charset="0"/>
            </a:rPr>
            <a:t>(+) In-kind Transfers</a:t>
          </a:r>
        </a:p>
      </cdr:txBody>
    </cdr:sp>
  </cdr:relSizeAnchor>
</c:userShapes>
</file>

<file path=word/drawings/drawing3.xml><?xml version="1.0" encoding="utf-8"?>
<c:userShapes xmlns:c="http://schemas.openxmlformats.org/drawingml/2006/chart">
  <cdr:relSizeAnchor xmlns:cdr="http://schemas.openxmlformats.org/drawingml/2006/chartDrawing">
    <cdr:from>
      <cdr:x>0.25428</cdr:x>
      <cdr:y>0.06922</cdr:y>
    </cdr:from>
    <cdr:to>
      <cdr:x>0.47021</cdr:x>
      <cdr:y>0.20702</cdr:y>
    </cdr:to>
    <cdr:sp macro="" textlink="">
      <cdr:nvSpPr>
        <cdr:cNvPr id="2" name="Text Box 1"/>
        <cdr:cNvSpPr txBox="1">
          <a:spLocks xmlns:a="http://schemas.openxmlformats.org/drawingml/2006/main" noChangeArrowheads="1"/>
        </cdr:cNvSpPr>
      </cdr:nvSpPr>
      <cdr:spPr bwMode="auto">
        <a:xfrm xmlns:a="http://schemas.openxmlformats.org/drawingml/2006/main">
          <a:off x="776834" y="238071"/>
          <a:ext cx="659649" cy="473894"/>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a:lnSpc>
              <a:spcPct val="107000"/>
            </a:lnSpc>
            <a:spcBef>
              <a:spcPts val="0"/>
            </a:spcBef>
            <a:spcAft>
              <a:spcPts val="800"/>
            </a:spcAft>
          </a:pPr>
          <a:r>
            <a:rPr lang="en-US" sz="800" kern="100">
              <a:solidFill>
                <a:srgbClr val="C00000"/>
              </a:solidFill>
              <a:effectLst/>
              <a:latin typeface="Calibri Light" panose="020F0302020204030204" pitchFamily="34" charset="0"/>
              <a:ea typeface="Calibri Light" panose="020F0302020204030204" pitchFamily="34" charset="0"/>
              <a:cs typeface="Calibri Light" panose="020F0302020204030204" pitchFamily="34" charset="0"/>
            </a:rPr>
            <a:t>(-) Direct Taxes</a:t>
          </a:r>
        </a:p>
      </cdr:txBody>
    </cdr:sp>
  </cdr:relSizeAnchor>
  <cdr:relSizeAnchor xmlns:cdr="http://schemas.openxmlformats.org/drawingml/2006/chartDrawing">
    <cdr:from>
      <cdr:x>0.45051</cdr:x>
      <cdr:y>0.14758</cdr:y>
    </cdr:from>
    <cdr:to>
      <cdr:x>0.70965</cdr:x>
      <cdr:y>0.28883</cdr:y>
    </cdr:to>
    <cdr:sp macro="" textlink="">
      <cdr:nvSpPr>
        <cdr:cNvPr id="3" name="Text Box 1"/>
        <cdr:cNvSpPr txBox="1">
          <a:spLocks xmlns:a="http://schemas.openxmlformats.org/drawingml/2006/main" noChangeArrowheads="1"/>
        </cdr:cNvSpPr>
      </cdr:nvSpPr>
      <cdr:spPr bwMode="auto">
        <a:xfrm xmlns:a="http://schemas.openxmlformats.org/drawingml/2006/main">
          <a:off x="1376291" y="507561"/>
          <a:ext cx="791682" cy="48576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a:lnSpc>
              <a:spcPct val="107000"/>
            </a:lnSpc>
            <a:spcBef>
              <a:spcPts val="0"/>
            </a:spcBef>
            <a:spcAft>
              <a:spcPts val="800"/>
            </a:spcAft>
          </a:pPr>
          <a:r>
            <a:rPr lang="en-US" sz="800" kern="100">
              <a:solidFill>
                <a:srgbClr val="0070C0"/>
              </a:solidFill>
              <a:effectLst/>
              <a:latin typeface="Calibri Light" panose="020F0302020204030204" pitchFamily="34" charset="0"/>
              <a:ea typeface="Calibri Light" panose="020F0302020204030204" pitchFamily="34" charset="0"/>
              <a:cs typeface="Calibri Light" panose="020F0302020204030204" pitchFamily="34" charset="0"/>
            </a:rPr>
            <a:t>(+) Direct Transfers</a:t>
          </a:r>
        </a:p>
      </cdr:txBody>
    </cdr:sp>
  </cdr:relSizeAnchor>
  <cdr:relSizeAnchor xmlns:cdr="http://schemas.openxmlformats.org/drawingml/2006/chartDrawing">
    <cdr:from>
      <cdr:x>0.65823</cdr:x>
      <cdr:y>0.13135</cdr:y>
    </cdr:from>
    <cdr:to>
      <cdr:x>0.91738</cdr:x>
      <cdr:y>0.24543</cdr:y>
    </cdr:to>
    <cdr:sp macro="" textlink="">
      <cdr:nvSpPr>
        <cdr:cNvPr id="4" name="Text Box 1"/>
        <cdr:cNvSpPr txBox="1">
          <a:spLocks xmlns:a="http://schemas.openxmlformats.org/drawingml/2006/main" noChangeArrowheads="1"/>
        </cdr:cNvSpPr>
      </cdr:nvSpPr>
      <cdr:spPr bwMode="auto">
        <a:xfrm xmlns:a="http://schemas.openxmlformats.org/drawingml/2006/main">
          <a:off x="2010884" y="451729"/>
          <a:ext cx="791712" cy="39233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a:lnSpc>
              <a:spcPct val="107000"/>
            </a:lnSpc>
            <a:spcBef>
              <a:spcPts val="0"/>
            </a:spcBef>
            <a:spcAft>
              <a:spcPts val="800"/>
            </a:spcAft>
          </a:pPr>
          <a:r>
            <a:rPr lang="en-US" sz="800" kern="100">
              <a:solidFill>
                <a:srgbClr val="C00000"/>
              </a:solidFill>
              <a:effectLst/>
              <a:latin typeface="Calibri Light" panose="020F0302020204030204" pitchFamily="34" charset="0"/>
              <a:ea typeface="Calibri Light" panose="020F0302020204030204" pitchFamily="34" charset="0"/>
              <a:cs typeface="Calibri Light" panose="020F0302020204030204" pitchFamily="34" charset="0"/>
            </a:rPr>
            <a:t>(-) Indirect Taxes</a:t>
          </a:r>
        </a:p>
      </cdr:txBody>
    </cdr:sp>
  </cdr:relSizeAnchor>
  <cdr:relSizeAnchor xmlns:cdr="http://schemas.openxmlformats.org/drawingml/2006/chartDrawing">
    <cdr:from>
      <cdr:x>0.76397</cdr:x>
      <cdr:y>0.70242</cdr:y>
    </cdr:from>
    <cdr:to>
      <cdr:x>1</cdr:x>
      <cdr:y>0.84367</cdr:y>
    </cdr:to>
    <cdr:sp macro="" textlink="">
      <cdr:nvSpPr>
        <cdr:cNvPr id="5" name="Text Box 1"/>
        <cdr:cNvSpPr txBox="1">
          <a:spLocks xmlns:a="http://schemas.openxmlformats.org/drawingml/2006/main" noChangeArrowheads="1"/>
        </cdr:cNvSpPr>
      </cdr:nvSpPr>
      <cdr:spPr bwMode="auto">
        <a:xfrm xmlns:a="http://schemas.openxmlformats.org/drawingml/2006/main">
          <a:off x="2333917" y="2267653"/>
          <a:ext cx="721068" cy="45600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a:lnSpc>
              <a:spcPct val="107000"/>
            </a:lnSpc>
            <a:spcBef>
              <a:spcPts val="0"/>
            </a:spcBef>
            <a:spcAft>
              <a:spcPts val="800"/>
            </a:spcAft>
          </a:pPr>
          <a:r>
            <a:rPr lang="en-US" sz="800" kern="100">
              <a:solidFill>
                <a:srgbClr val="0070C0"/>
              </a:solidFill>
              <a:effectLst/>
              <a:latin typeface="Calibri Light" panose="020F0302020204030204" pitchFamily="34" charset="0"/>
              <a:ea typeface="Calibri Light" panose="020F0302020204030204" pitchFamily="34" charset="0"/>
              <a:cs typeface="Calibri Light" panose="020F0302020204030204" pitchFamily="34" charset="0"/>
            </a:rPr>
            <a:t>(+) In-kind Transfers</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42A47-31C8-4F57-AE0E-73995E90F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28</Pages>
  <Words>9682</Words>
  <Characters>57226</Characters>
  <Application>Microsoft Office Word</Application>
  <DocSecurity>0</DocSecurity>
  <Lines>938</Lines>
  <Paragraphs>253</Paragraphs>
  <ScaleCrop>false</ScaleCrop>
  <HeadingPairs>
    <vt:vector size="2" baseType="variant">
      <vt:variant>
        <vt:lpstr>Title</vt:lpstr>
      </vt:variant>
      <vt:variant>
        <vt:i4>1</vt:i4>
      </vt:variant>
    </vt:vector>
  </HeadingPairs>
  <TitlesOfParts>
    <vt:vector size="1" baseType="lpstr">
      <vt:lpstr/>
    </vt:vector>
  </TitlesOfParts>
  <Company>WBG</Company>
  <LinksUpToDate>false</LinksUpToDate>
  <CharactersWithSpaces>66655</CharactersWithSpaces>
  <SharedDoc>false</SharedDoc>
  <HLinks>
    <vt:vector size="48" baseType="variant">
      <vt:variant>
        <vt:i4>2949165</vt:i4>
      </vt:variant>
      <vt:variant>
        <vt:i4>144</vt:i4>
      </vt:variant>
      <vt:variant>
        <vt:i4>0</vt:i4>
      </vt:variant>
      <vt:variant>
        <vt:i4>5</vt:i4>
      </vt:variant>
      <vt:variant>
        <vt:lpwstr>https://doi.org/10.1787/ec90d1b1-en</vt:lpwstr>
      </vt:variant>
      <vt:variant>
        <vt:lpwstr/>
      </vt:variant>
      <vt:variant>
        <vt:i4>6422651</vt:i4>
      </vt:variant>
      <vt:variant>
        <vt:i4>141</vt:i4>
      </vt:variant>
      <vt:variant>
        <vt:i4>0</vt:i4>
      </vt:variant>
      <vt:variant>
        <vt:i4>5</vt:i4>
      </vt:variant>
      <vt:variant>
        <vt:lpwstr>https://www.ictd.ac/publication/towards-gender-equality-tax-fiscal-systems/</vt:lpwstr>
      </vt:variant>
      <vt:variant>
        <vt:lpwstr/>
      </vt:variant>
      <vt:variant>
        <vt:i4>65599</vt:i4>
      </vt:variant>
      <vt:variant>
        <vt:i4>138</vt:i4>
      </vt:variant>
      <vt:variant>
        <vt:i4>0</vt:i4>
      </vt:variant>
      <vt:variant>
        <vt:i4>5</vt:i4>
      </vt:variant>
      <vt:variant>
        <vt:lpwstr>https://www.fao.org/fileadmin/templates/ess/pages/rural/files/2.5_Chapter_IX_The_Agricultural_Household_%E2%80%93_Concepts_And_Definitions.pdf</vt:lpwstr>
      </vt:variant>
      <vt:variant>
        <vt:lpwstr/>
      </vt:variant>
      <vt:variant>
        <vt:i4>6094917</vt:i4>
      </vt:variant>
      <vt:variant>
        <vt:i4>135</vt:i4>
      </vt:variant>
      <vt:variant>
        <vt:i4>0</vt:i4>
      </vt:variant>
      <vt:variant>
        <vt:i4>5</vt:i4>
      </vt:variant>
      <vt:variant>
        <vt:lpwstr>http://documents.worldbank.org/curated/en/099042523145533834/P17673806236d70120a8920886c1651ceea</vt:lpwstr>
      </vt:variant>
      <vt:variant>
        <vt:lpwstr/>
      </vt:variant>
      <vt:variant>
        <vt:i4>1179694</vt:i4>
      </vt:variant>
      <vt:variant>
        <vt:i4>9</vt:i4>
      </vt:variant>
      <vt:variant>
        <vt:i4>0</vt:i4>
      </vt:variant>
      <vt:variant>
        <vt:i4>5</vt:i4>
      </vt:variant>
      <vt:variant>
        <vt:lpwstr>mailto:griveragallegos@worldbank.org</vt:lpwstr>
      </vt:variant>
      <vt:variant>
        <vt:lpwstr/>
      </vt:variant>
      <vt:variant>
        <vt:i4>1179694</vt:i4>
      </vt:variant>
      <vt:variant>
        <vt:i4>6</vt:i4>
      </vt:variant>
      <vt:variant>
        <vt:i4>0</vt:i4>
      </vt:variant>
      <vt:variant>
        <vt:i4>5</vt:i4>
      </vt:variant>
      <vt:variant>
        <vt:lpwstr>mailto:griveragallegos@worldbank.org</vt:lpwstr>
      </vt:variant>
      <vt:variant>
        <vt:lpwstr/>
      </vt:variant>
      <vt:variant>
        <vt:i4>6815823</vt:i4>
      </vt:variant>
      <vt:variant>
        <vt:i4>3</vt:i4>
      </vt:variant>
      <vt:variant>
        <vt:i4>0</vt:i4>
      </vt:variant>
      <vt:variant>
        <vt:i4>5</vt:i4>
      </vt:variant>
      <vt:variant>
        <vt:lpwstr>mailto:sbuitragohernand@worldbank.org</vt:lpwstr>
      </vt:variant>
      <vt:variant>
        <vt:lpwstr/>
      </vt:variant>
      <vt:variant>
        <vt:i4>1179694</vt:i4>
      </vt:variant>
      <vt:variant>
        <vt:i4>0</vt:i4>
      </vt:variant>
      <vt:variant>
        <vt:i4>0</vt:i4>
      </vt:variant>
      <vt:variant>
        <vt:i4>5</vt:i4>
      </vt:variant>
      <vt:variant>
        <vt:lpwstr>mailto:griveragallegos@worldbank.org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Carolina Rubiano Matulevich</dc:creator>
  <cp:keywords/>
  <dc:description/>
  <cp:lastModifiedBy>Yeon Soo Kim</cp:lastModifiedBy>
  <cp:revision>12</cp:revision>
  <cp:lastPrinted>2024-09-13T16:30:00Z</cp:lastPrinted>
  <dcterms:created xsi:type="dcterms:W3CDTF">2024-09-13T16:26:00Z</dcterms:created>
  <dcterms:modified xsi:type="dcterms:W3CDTF">2026-02-25T08:28:00Z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27669507,be0f45d,b9015a1</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2026-02-25T08:28:13Z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6653acea-c832-4c92-9fe4-12be400f61ee</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